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755C" w14:textId="77777777" w:rsidR="00BA315E" w:rsidRDefault="00BA315E" w:rsidP="00CC4301">
      <w:pPr>
        <w:spacing w:after="0" w:line="259" w:lineRule="auto"/>
        <w:ind w:left="11" w:right="7" w:hanging="11"/>
        <w:jc w:val="center"/>
        <w:rPr>
          <w:b/>
          <w:color w:val="6F2A90"/>
          <w:sz w:val="32"/>
          <w:szCs w:val="32"/>
        </w:rPr>
      </w:pPr>
    </w:p>
    <w:p w14:paraId="5D5912F9" w14:textId="79A9E81C" w:rsidR="000360F1" w:rsidRPr="00122A9E" w:rsidRDefault="00B512BB" w:rsidP="00CC4301">
      <w:pPr>
        <w:spacing w:after="0" w:line="259" w:lineRule="auto"/>
        <w:ind w:left="11" w:right="7" w:hanging="11"/>
        <w:jc w:val="center"/>
        <w:rPr>
          <w:color w:val="6F2A90"/>
          <w:sz w:val="32"/>
          <w:szCs w:val="32"/>
        </w:rPr>
      </w:pPr>
      <w:r w:rsidRPr="00122A9E">
        <w:rPr>
          <w:b/>
          <w:color w:val="6F2A90"/>
          <w:sz w:val="32"/>
          <w:szCs w:val="32"/>
        </w:rPr>
        <w:t xml:space="preserve">The Conveyancing Association </w:t>
      </w:r>
      <w:r w:rsidR="00570E81">
        <w:rPr>
          <w:b/>
          <w:color w:val="6F2A90"/>
          <w:sz w:val="32"/>
          <w:szCs w:val="32"/>
        </w:rPr>
        <w:t xml:space="preserve">Technical </w:t>
      </w:r>
      <w:r w:rsidR="00790BBE" w:rsidRPr="00122A9E">
        <w:rPr>
          <w:b/>
          <w:color w:val="6F2A90"/>
          <w:sz w:val="32"/>
          <w:szCs w:val="32"/>
        </w:rPr>
        <w:t xml:space="preserve">Protocol </w:t>
      </w:r>
      <w:r w:rsidR="00790BBE">
        <w:rPr>
          <w:b/>
          <w:color w:val="6F2A90"/>
          <w:sz w:val="32"/>
          <w:szCs w:val="32"/>
        </w:rPr>
        <w:br/>
      </w:r>
      <w:r w:rsidRPr="00122A9E">
        <w:rPr>
          <w:b/>
          <w:color w:val="6F2A90"/>
          <w:sz w:val="32"/>
          <w:szCs w:val="32"/>
        </w:rPr>
        <w:t xml:space="preserve">For England and Wales </w:t>
      </w:r>
    </w:p>
    <w:p w14:paraId="3D39C2FC" w14:textId="7EE2E1CC" w:rsidR="000360F1" w:rsidRDefault="00AC39F0">
      <w:pPr>
        <w:spacing w:after="0" w:line="259" w:lineRule="auto"/>
        <w:ind w:right="0"/>
        <w:jc w:val="center"/>
      </w:pPr>
      <w:r>
        <w:rPr>
          <w:b/>
        </w:rPr>
        <w:t>Seventh</w:t>
      </w:r>
      <w:r w:rsidR="00080637">
        <w:rPr>
          <w:b/>
        </w:rPr>
        <w:t xml:space="preserve"> </w:t>
      </w:r>
      <w:r w:rsidR="00B512BB">
        <w:rPr>
          <w:b/>
        </w:rPr>
        <w:t xml:space="preserve">Edition </w:t>
      </w:r>
    </w:p>
    <w:p w14:paraId="6BF9FFEE" w14:textId="77777777" w:rsidR="000360F1" w:rsidRDefault="00B512BB">
      <w:pPr>
        <w:spacing w:after="0" w:line="259" w:lineRule="auto"/>
        <w:ind w:left="56" w:right="0" w:firstLine="0"/>
        <w:jc w:val="center"/>
      </w:pPr>
      <w:r>
        <w:rPr>
          <w:b/>
        </w:rPr>
        <w:t xml:space="preserve"> </w:t>
      </w:r>
    </w:p>
    <w:p w14:paraId="70DC4B1D" w14:textId="05622ABE" w:rsidR="000360F1" w:rsidRDefault="00B512BB">
      <w:pPr>
        <w:ind w:left="-5" w:right="0"/>
      </w:pPr>
      <w:r>
        <w:t xml:space="preserve">The Conveyancing Association (CA) endorses the principles that underpin this protocol but recognises each transaction must be judged on its own merits. In some </w:t>
      </w:r>
      <w:r w:rsidR="00790BBE">
        <w:t>cases,</w:t>
      </w:r>
      <w:r>
        <w:t xml:space="preserve"> established working practices, system limitations and the instructions of a client or lender may prevent the adoption of the protocol in full. Within these acknowledged limitations the CA commends the adoption of the protocol to its members as an opportunity to improve client satisfaction</w:t>
      </w:r>
      <w:r w:rsidR="00080637">
        <w:t>,</w:t>
      </w:r>
      <w:r w:rsidR="00790BBE">
        <w:t xml:space="preserve"> </w:t>
      </w:r>
      <w:r w:rsidR="00080637">
        <w:t>reduce enquiries and administration</w:t>
      </w:r>
      <w:r>
        <w:t xml:space="preserve">. </w:t>
      </w:r>
    </w:p>
    <w:p w14:paraId="4E3A88E7" w14:textId="77777777" w:rsidR="000360F1" w:rsidRDefault="00B512BB">
      <w:pPr>
        <w:spacing w:after="0" w:line="259" w:lineRule="auto"/>
        <w:ind w:left="0" w:right="0" w:firstLine="0"/>
        <w:jc w:val="left"/>
      </w:pPr>
      <w:r>
        <w:t xml:space="preserve"> </w:t>
      </w:r>
    </w:p>
    <w:p w14:paraId="36A2D904" w14:textId="77777777" w:rsidR="000360F1" w:rsidRDefault="00B512BB">
      <w:pPr>
        <w:ind w:left="-5" w:right="0"/>
      </w:pPr>
      <w:r>
        <w:t xml:space="preserve">This protocol is intended to: </w:t>
      </w:r>
    </w:p>
    <w:p w14:paraId="206C32CA" w14:textId="594F4124" w:rsidR="00E91A06" w:rsidRPr="00E91A06" w:rsidRDefault="00B512BB" w:rsidP="00122A9E">
      <w:pPr>
        <w:pStyle w:val="ListParagraph"/>
        <w:numPr>
          <w:ilvl w:val="0"/>
          <w:numId w:val="8"/>
        </w:numPr>
        <w:spacing w:line="250" w:lineRule="auto"/>
        <w:ind w:left="567" w:right="0"/>
      </w:pPr>
      <w:r>
        <w:t>Deliver a robust and efficient conveyancing service through the co-operation of all parties within the transaction.</w:t>
      </w:r>
    </w:p>
    <w:p w14:paraId="71E53C08" w14:textId="049020C5" w:rsidR="00E91A06" w:rsidRDefault="00B512BB" w:rsidP="00122A9E">
      <w:pPr>
        <w:pStyle w:val="ListParagraph"/>
        <w:numPr>
          <w:ilvl w:val="0"/>
          <w:numId w:val="8"/>
        </w:numPr>
        <w:spacing w:line="250" w:lineRule="auto"/>
        <w:ind w:left="567" w:right="0"/>
      </w:pPr>
      <w:r>
        <w:t>Complement both the Conveyancing Association’s Pledges and the Conveya</w:t>
      </w:r>
      <w:r w:rsidR="00E91A06">
        <w:t>ncing Quality Scheme (CQS)</w:t>
      </w:r>
      <w:r w:rsidR="00C02808">
        <w:t xml:space="preserve"> The Law Society’s copyright of which is acknowledged</w:t>
      </w:r>
      <w:r w:rsidR="00E91A06">
        <w:t xml:space="preserve">. </w:t>
      </w:r>
    </w:p>
    <w:p w14:paraId="1E0FC801" w14:textId="51FC67B0" w:rsidR="002F3F8F" w:rsidRDefault="007B378F" w:rsidP="00122A9E">
      <w:pPr>
        <w:pStyle w:val="ListParagraph"/>
        <w:numPr>
          <w:ilvl w:val="0"/>
          <w:numId w:val="8"/>
        </w:numPr>
        <w:spacing w:line="250" w:lineRule="auto"/>
        <w:ind w:left="567" w:right="0"/>
      </w:pPr>
      <w:r>
        <w:t xml:space="preserve">Be read in conjunction with the </w:t>
      </w:r>
      <w:r w:rsidR="002F3F8F">
        <w:t>CA</w:t>
      </w:r>
      <w:r>
        <w:t xml:space="preserve"> Cyber Protocol which is available </w:t>
      </w:r>
      <w:r w:rsidR="00C02808">
        <w:t>via the CA website download section</w:t>
      </w:r>
      <w:r>
        <w:t>, or other cybe</w:t>
      </w:r>
      <w:r w:rsidR="002F3F8F">
        <w:t>r security advice available.</w:t>
      </w:r>
    </w:p>
    <w:p w14:paraId="023CF825" w14:textId="77777777" w:rsidR="00E91A06" w:rsidRDefault="00E91A06" w:rsidP="00122A9E">
      <w:pPr>
        <w:pStyle w:val="ListParagraph"/>
        <w:spacing w:line="250" w:lineRule="auto"/>
        <w:ind w:left="567" w:right="0" w:firstLine="0"/>
      </w:pPr>
    </w:p>
    <w:p w14:paraId="78085305" w14:textId="1021DAB8" w:rsidR="000360F1" w:rsidRDefault="00E91A06" w:rsidP="00122A9E">
      <w:pPr>
        <w:pStyle w:val="ListParagraph"/>
        <w:spacing w:line="250" w:lineRule="auto"/>
        <w:ind w:left="0" w:right="0" w:firstLine="0"/>
      </w:pPr>
      <w:r>
        <w:t xml:space="preserve">NB </w:t>
      </w:r>
      <w:r w:rsidR="00B512BB">
        <w:t xml:space="preserve">The CA does not intend the Protocol </w:t>
      </w:r>
      <w:r w:rsidR="00770E8D">
        <w:softHyphen/>
      </w:r>
      <w:r w:rsidR="00B512BB">
        <w:t>to conflict with any regulatory or Law Society guidance but</w:t>
      </w:r>
      <w:r w:rsidR="00C02808">
        <w:t>,</w:t>
      </w:r>
      <w:r w:rsidR="00B512BB">
        <w:t xml:space="preserve"> if any such conflict is apparent</w:t>
      </w:r>
      <w:r w:rsidR="00C02808">
        <w:t>,</w:t>
      </w:r>
      <w:r w:rsidR="00B512BB">
        <w:t xml:space="preserve"> the demands of the latter prevail</w:t>
      </w:r>
      <w:r w:rsidR="00080637">
        <w:t xml:space="preserve"> subject to acting in the best interests of your clients</w:t>
      </w:r>
      <w:r w:rsidR="00B512BB">
        <w:t xml:space="preserve">. </w:t>
      </w:r>
    </w:p>
    <w:p w14:paraId="7265CDC4" w14:textId="77777777" w:rsidR="000360F1" w:rsidRDefault="00B512BB" w:rsidP="00122A9E">
      <w:pPr>
        <w:spacing w:after="0" w:line="80" w:lineRule="exact"/>
        <w:ind w:left="0" w:right="0" w:firstLine="0"/>
        <w:jc w:val="left"/>
      </w:pPr>
      <w:r>
        <w:t xml:space="preserve"> </w:t>
      </w:r>
    </w:p>
    <w:p w14:paraId="4693DF26" w14:textId="77777777" w:rsidR="000360F1" w:rsidRDefault="00B512BB">
      <w:pPr>
        <w:spacing w:after="0" w:line="259" w:lineRule="auto"/>
        <w:ind w:left="0" w:right="0" w:firstLine="0"/>
        <w:jc w:val="left"/>
      </w:pPr>
      <w:r>
        <w:rPr>
          <w:b/>
        </w:rPr>
        <w:t xml:space="preserve"> </w:t>
      </w:r>
    </w:p>
    <w:tbl>
      <w:tblPr>
        <w:tblStyle w:val="TableGrid"/>
        <w:tblpPr w:leftFromText="180" w:rightFromText="180" w:vertAnchor="text" w:tblpX="-122" w:tblpY="1"/>
        <w:tblOverlap w:val="never"/>
        <w:tblW w:w="10475" w:type="dxa"/>
        <w:tblInd w:w="0" w:type="dxa"/>
        <w:tblLayout w:type="fixed"/>
        <w:tblCellMar>
          <w:top w:w="16" w:type="dxa"/>
          <w:left w:w="104" w:type="dxa"/>
          <w:right w:w="85" w:type="dxa"/>
        </w:tblCellMar>
        <w:tblLook w:val="04A0" w:firstRow="1" w:lastRow="0" w:firstColumn="1" w:lastColumn="0" w:noHBand="0" w:noVBand="1"/>
      </w:tblPr>
      <w:tblGrid>
        <w:gridCol w:w="12"/>
        <w:gridCol w:w="13"/>
        <w:gridCol w:w="3330"/>
        <w:gridCol w:w="13"/>
        <w:gridCol w:w="2202"/>
        <w:gridCol w:w="4905"/>
      </w:tblGrid>
      <w:tr w:rsidR="000D3805" w14:paraId="13F1DB05" w14:textId="77777777" w:rsidTr="0065688B">
        <w:trPr>
          <w:gridBefore w:val="2"/>
          <w:wBefore w:w="25" w:type="dxa"/>
          <w:trHeight w:val="366"/>
        </w:trPr>
        <w:tc>
          <w:tcPr>
            <w:tcW w:w="3343" w:type="dxa"/>
            <w:gridSpan w:val="2"/>
            <w:tcBorders>
              <w:top w:val="single" w:sz="12" w:space="0" w:color="000000"/>
              <w:left w:val="single" w:sz="12" w:space="0" w:color="000000"/>
              <w:bottom w:val="single" w:sz="12" w:space="0" w:color="000000"/>
              <w:right w:val="single" w:sz="4" w:space="0" w:color="000000"/>
            </w:tcBorders>
            <w:shd w:val="clear" w:color="auto" w:fill="6F2A90"/>
          </w:tcPr>
          <w:p w14:paraId="31E493E4" w14:textId="77777777" w:rsidR="000360F1" w:rsidRPr="00122A9E" w:rsidRDefault="00B512BB" w:rsidP="007F35DF">
            <w:pPr>
              <w:spacing w:after="0" w:line="259" w:lineRule="auto"/>
              <w:ind w:left="0" w:right="0" w:firstLine="0"/>
              <w:jc w:val="left"/>
              <w:rPr>
                <w:color w:val="FFFFFF" w:themeColor="background1"/>
              </w:rPr>
            </w:pPr>
            <w:r w:rsidRPr="00122A9E">
              <w:rPr>
                <w:b/>
                <w:color w:val="FFFFFF" w:themeColor="background1"/>
              </w:rPr>
              <w:t xml:space="preserve">Issue Addressed </w:t>
            </w:r>
          </w:p>
        </w:tc>
        <w:tc>
          <w:tcPr>
            <w:tcW w:w="2202" w:type="dxa"/>
            <w:tcBorders>
              <w:top w:val="single" w:sz="12" w:space="0" w:color="000000"/>
              <w:left w:val="single" w:sz="4" w:space="0" w:color="000000"/>
              <w:bottom w:val="single" w:sz="12" w:space="0" w:color="000000"/>
              <w:right w:val="single" w:sz="4" w:space="0" w:color="000000"/>
            </w:tcBorders>
            <w:shd w:val="clear" w:color="auto" w:fill="6F2A90"/>
          </w:tcPr>
          <w:p w14:paraId="290A5890" w14:textId="77777777" w:rsidR="000360F1" w:rsidRPr="00122A9E" w:rsidRDefault="00B512BB" w:rsidP="007F35DF">
            <w:pPr>
              <w:spacing w:after="0" w:line="259" w:lineRule="auto"/>
              <w:ind w:left="2" w:right="0" w:firstLine="0"/>
              <w:jc w:val="left"/>
              <w:rPr>
                <w:color w:val="FFFFFF" w:themeColor="background1"/>
              </w:rPr>
            </w:pPr>
            <w:r w:rsidRPr="00122A9E">
              <w:rPr>
                <w:b/>
                <w:color w:val="FFFFFF" w:themeColor="background1"/>
              </w:rPr>
              <w:t xml:space="preserve">Agreed Practice </w:t>
            </w:r>
          </w:p>
        </w:tc>
        <w:tc>
          <w:tcPr>
            <w:tcW w:w="4905" w:type="dxa"/>
            <w:tcBorders>
              <w:top w:val="single" w:sz="12" w:space="0" w:color="000000"/>
              <w:left w:val="single" w:sz="4" w:space="0" w:color="000000"/>
              <w:bottom w:val="single" w:sz="12" w:space="0" w:color="000000"/>
              <w:right w:val="single" w:sz="12" w:space="0" w:color="000000"/>
            </w:tcBorders>
            <w:shd w:val="clear" w:color="auto" w:fill="6F2A90"/>
          </w:tcPr>
          <w:p w14:paraId="0CF451C6" w14:textId="77777777" w:rsidR="000360F1" w:rsidRPr="00122A9E" w:rsidRDefault="00B512BB" w:rsidP="007F35DF">
            <w:pPr>
              <w:spacing w:after="0" w:line="259" w:lineRule="auto"/>
              <w:ind w:left="6" w:right="0" w:firstLine="0"/>
              <w:jc w:val="left"/>
              <w:rPr>
                <w:color w:val="FFFFFF" w:themeColor="background1"/>
              </w:rPr>
            </w:pPr>
            <w:r w:rsidRPr="00122A9E">
              <w:rPr>
                <w:b/>
                <w:color w:val="FFFFFF" w:themeColor="background1"/>
              </w:rPr>
              <w:t xml:space="preserve">Practice Guidance </w:t>
            </w:r>
          </w:p>
        </w:tc>
      </w:tr>
      <w:tr w:rsidR="000D3805" w14:paraId="1209BF84" w14:textId="77777777" w:rsidTr="0065688B">
        <w:trPr>
          <w:gridBefore w:val="2"/>
          <w:wBefore w:w="25" w:type="dxa"/>
          <w:trHeight w:val="2642"/>
        </w:trPr>
        <w:tc>
          <w:tcPr>
            <w:tcW w:w="3343" w:type="dxa"/>
            <w:gridSpan w:val="2"/>
            <w:tcBorders>
              <w:top w:val="single" w:sz="12" w:space="0" w:color="000000"/>
              <w:left w:val="single" w:sz="4" w:space="0" w:color="000000"/>
              <w:bottom w:val="single" w:sz="12" w:space="0" w:color="000000"/>
              <w:right w:val="single" w:sz="4" w:space="0" w:color="000000"/>
            </w:tcBorders>
            <w:shd w:val="clear" w:color="auto" w:fill="EAD5EF"/>
          </w:tcPr>
          <w:p w14:paraId="406C0A3C" w14:textId="77777777" w:rsidR="000360F1" w:rsidRDefault="00B512BB" w:rsidP="00122A9E">
            <w:pPr>
              <w:shd w:val="clear" w:color="auto" w:fill="EAD5EF"/>
              <w:spacing w:after="0" w:line="259" w:lineRule="auto"/>
              <w:ind w:left="0" w:right="0" w:firstLine="0"/>
              <w:jc w:val="left"/>
            </w:pPr>
            <w:r>
              <w:rPr>
                <w:b/>
                <w:sz w:val="20"/>
              </w:rPr>
              <w:t xml:space="preserve"> </w:t>
            </w:r>
          </w:p>
          <w:p w14:paraId="0BD17B37" w14:textId="77777777" w:rsidR="000360F1" w:rsidRDefault="00B512BB" w:rsidP="00122A9E">
            <w:pPr>
              <w:shd w:val="clear" w:color="auto" w:fill="EAD5EF"/>
              <w:spacing w:after="0" w:line="259" w:lineRule="auto"/>
              <w:ind w:left="0" w:right="0" w:firstLine="0"/>
              <w:jc w:val="left"/>
            </w:pPr>
            <w:r>
              <w:rPr>
                <w:b/>
                <w:sz w:val="20"/>
              </w:rPr>
              <w:t xml:space="preserve">1.0 Delays in the transaction </w:t>
            </w:r>
          </w:p>
        </w:tc>
        <w:tc>
          <w:tcPr>
            <w:tcW w:w="2202" w:type="dxa"/>
            <w:tcBorders>
              <w:top w:val="single" w:sz="12" w:space="0" w:color="000000"/>
              <w:left w:val="single" w:sz="4" w:space="0" w:color="000000"/>
              <w:bottom w:val="single" w:sz="12" w:space="0" w:color="000000"/>
              <w:right w:val="single" w:sz="4" w:space="0" w:color="000000"/>
            </w:tcBorders>
            <w:shd w:val="clear" w:color="auto" w:fill="F2F2F2" w:themeFill="background1" w:themeFillShade="F2"/>
          </w:tcPr>
          <w:p w14:paraId="7E70912B" w14:textId="77777777" w:rsidR="000360F1" w:rsidRDefault="00B512BB" w:rsidP="007F35DF">
            <w:pPr>
              <w:spacing w:after="0" w:line="259" w:lineRule="auto"/>
              <w:ind w:left="2" w:right="0" w:firstLine="0"/>
              <w:jc w:val="left"/>
            </w:pPr>
            <w:r>
              <w:rPr>
                <w:sz w:val="20"/>
              </w:rPr>
              <w:t xml:space="preserve"> </w:t>
            </w:r>
          </w:p>
          <w:p w14:paraId="3F7E148F" w14:textId="77777777" w:rsidR="000360F1" w:rsidRDefault="00B512BB" w:rsidP="00122A9E">
            <w:pPr>
              <w:shd w:val="clear" w:color="auto" w:fill="F2F2F2" w:themeFill="background1" w:themeFillShade="F2"/>
              <w:spacing w:after="0" w:line="259" w:lineRule="auto"/>
              <w:ind w:left="2" w:right="0" w:firstLine="0"/>
              <w:jc w:val="left"/>
            </w:pPr>
            <w:r>
              <w:rPr>
                <w:sz w:val="20"/>
              </w:rPr>
              <w:t xml:space="preserve">Improved </w:t>
            </w:r>
          </w:p>
          <w:p w14:paraId="62E78831" w14:textId="77777777" w:rsidR="000360F1" w:rsidRDefault="00B512BB" w:rsidP="00122A9E">
            <w:pPr>
              <w:shd w:val="clear" w:color="auto" w:fill="F2F2F2" w:themeFill="background1" w:themeFillShade="F2"/>
              <w:spacing w:after="0" w:line="259" w:lineRule="auto"/>
              <w:ind w:left="2" w:right="0" w:firstLine="0"/>
              <w:jc w:val="left"/>
            </w:pPr>
            <w:r>
              <w:rPr>
                <w:sz w:val="20"/>
              </w:rPr>
              <w:t xml:space="preserve">Communication </w:t>
            </w:r>
          </w:p>
        </w:tc>
        <w:tc>
          <w:tcPr>
            <w:tcW w:w="4905" w:type="dxa"/>
            <w:tcBorders>
              <w:top w:val="single" w:sz="12" w:space="0" w:color="000000"/>
              <w:left w:val="single" w:sz="4" w:space="0" w:color="000000"/>
              <w:bottom w:val="single" w:sz="12" w:space="0" w:color="000000"/>
              <w:right w:val="single" w:sz="4" w:space="0" w:color="000000"/>
            </w:tcBorders>
          </w:tcPr>
          <w:p w14:paraId="72CC0CD2" w14:textId="77777777" w:rsidR="001E1360" w:rsidRDefault="001E1360" w:rsidP="007F35DF">
            <w:pPr>
              <w:spacing w:after="0" w:line="259" w:lineRule="auto"/>
              <w:ind w:left="0" w:right="0" w:firstLine="0"/>
              <w:jc w:val="left"/>
            </w:pPr>
          </w:p>
          <w:p w14:paraId="3B0FC3A4" w14:textId="4447A336" w:rsidR="002F3F8F" w:rsidRDefault="009513DC" w:rsidP="00122A9E">
            <w:pPr>
              <w:spacing w:afterLines="80" w:after="192" w:line="220" w:lineRule="exact"/>
              <w:ind w:right="0"/>
              <w:jc w:val="left"/>
              <w:rPr>
                <w:sz w:val="20"/>
              </w:rPr>
            </w:pPr>
            <w:r>
              <w:rPr>
                <w:sz w:val="20"/>
              </w:rPr>
              <w:t>M</w:t>
            </w:r>
            <w:r w:rsidR="00B512BB">
              <w:rPr>
                <w:sz w:val="20"/>
              </w:rPr>
              <w:t xml:space="preserve">ake an initial introductory call to the client, thereafter the first choice for all correspondence for all parties (where </w:t>
            </w:r>
            <w:r w:rsidR="00080637">
              <w:rPr>
                <w:sz w:val="20"/>
              </w:rPr>
              <w:t>appropriate) is electronic</w:t>
            </w:r>
            <w:r w:rsidR="001C78CB">
              <w:rPr>
                <w:sz w:val="20"/>
              </w:rPr>
              <w:t xml:space="preserve"> </w:t>
            </w:r>
            <w:r w:rsidR="0060594D">
              <w:rPr>
                <w:sz w:val="20"/>
              </w:rPr>
              <w:t xml:space="preserve">via a secure portal or </w:t>
            </w:r>
            <w:r w:rsidR="002F3F8F">
              <w:rPr>
                <w:sz w:val="20"/>
              </w:rPr>
              <w:t>encrypted email.</w:t>
            </w:r>
            <w:r w:rsidR="002F3F8F">
              <w:rPr>
                <w:sz w:val="20"/>
                <w:vertAlign w:val="superscript"/>
              </w:rPr>
              <w:footnoteReference w:id="2"/>
            </w:r>
            <w:r w:rsidR="002F3F8F">
              <w:rPr>
                <w:sz w:val="20"/>
              </w:rPr>
              <w:t xml:space="preserve">  </w:t>
            </w:r>
          </w:p>
          <w:p w14:paraId="76FF526F" w14:textId="72604A97" w:rsidR="00FA4170" w:rsidRDefault="00FA4170" w:rsidP="00122A9E">
            <w:pPr>
              <w:spacing w:afterLines="80" w:after="192" w:line="220" w:lineRule="exact"/>
              <w:ind w:right="0"/>
              <w:jc w:val="left"/>
              <w:rPr>
                <w:sz w:val="20"/>
              </w:rPr>
            </w:pPr>
            <w:r>
              <w:rPr>
                <w:sz w:val="20"/>
              </w:rPr>
              <w:t>Any staff working from home should be able to take and receive phone calls from all parties, preferably via the law firm telephone exchange.</w:t>
            </w:r>
          </w:p>
          <w:p w14:paraId="66D1386D" w14:textId="3A5E24F0" w:rsidR="002F3F8F" w:rsidRDefault="002F3F8F" w:rsidP="00122A9E">
            <w:pPr>
              <w:spacing w:afterLines="80" w:after="192" w:line="220" w:lineRule="exact"/>
              <w:ind w:left="6" w:right="0" w:firstLine="0"/>
              <w:jc w:val="left"/>
              <w:rPr>
                <w:sz w:val="20"/>
              </w:rPr>
            </w:pPr>
            <w:r>
              <w:rPr>
                <w:sz w:val="20"/>
              </w:rPr>
              <w:t xml:space="preserve">Bank details should be sent to the client by post at the beginning of the transaction to avoid </w:t>
            </w:r>
            <w:r w:rsidR="00080637">
              <w:rPr>
                <w:sz w:val="20"/>
              </w:rPr>
              <w:t xml:space="preserve">fund </w:t>
            </w:r>
            <w:r>
              <w:rPr>
                <w:sz w:val="20"/>
              </w:rPr>
              <w:t>interception by fraudsters.</w:t>
            </w:r>
            <w:r>
              <w:rPr>
                <w:rStyle w:val="FootnoteReference"/>
                <w:sz w:val="20"/>
              </w:rPr>
              <w:footnoteReference w:id="3"/>
            </w:r>
          </w:p>
          <w:p w14:paraId="46791561" w14:textId="3376280C" w:rsidR="002F3F8F" w:rsidRDefault="002F3F8F" w:rsidP="00122A9E">
            <w:pPr>
              <w:spacing w:afterLines="80" w:after="192" w:line="220" w:lineRule="exact"/>
              <w:ind w:right="0"/>
              <w:jc w:val="left"/>
            </w:pPr>
            <w:r>
              <w:rPr>
                <w:sz w:val="20"/>
              </w:rPr>
              <w:t>Work with the other lawyer, responding promptly to communication in a co-operative manner</w:t>
            </w:r>
            <w:r w:rsidR="0060594D">
              <w:rPr>
                <w:sz w:val="20"/>
              </w:rPr>
              <w:t xml:space="preserve"> and sharing all informati</w:t>
            </w:r>
            <w:r w:rsidR="00562C04">
              <w:rPr>
                <w:sz w:val="20"/>
              </w:rPr>
              <w:t>on</w:t>
            </w:r>
            <w:r>
              <w:rPr>
                <w:sz w:val="20"/>
              </w:rPr>
              <w:t>.</w:t>
            </w:r>
            <w:r>
              <w:rPr>
                <w:sz w:val="20"/>
                <w:vertAlign w:val="superscript"/>
              </w:rPr>
              <w:footnoteReference w:id="4"/>
            </w:r>
            <w:r>
              <w:rPr>
                <w:sz w:val="20"/>
              </w:rPr>
              <w:t xml:space="preserve">   </w:t>
            </w:r>
          </w:p>
          <w:p w14:paraId="6A0D9C03" w14:textId="77777777" w:rsidR="002F3F8F" w:rsidRDefault="002F3F8F" w:rsidP="00122A9E">
            <w:pPr>
              <w:spacing w:afterLines="80" w:after="192" w:line="220" w:lineRule="exact"/>
              <w:ind w:left="6" w:right="0" w:firstLine="0"/>
              <w:jc w:val="left"/>
            </w:pPr>
            <w:r>
              <w:rPr>
                <w:sz w:val="20"/>
              </w:rPr>
              <w:t xml:space="preserve">Protracted email exchanges over complex issues, which are unresolved by the first round of enquiry, can be avoided by discussion over the phone. </w:t>
            </w:r>
          </w:p>
          <w:p w14:paraId="20788DFC" w14:textId="469531D1" w:rsidR="002F3F8F" w:rsidRDefault="00480C54" w:rsidP="00122A9E">
            <w:pPr>
              <w:spacing w:afterLines="80" w:after="192" w:line="220" w:lineRule="exact"/>
              <w:ind w:left="6" w:right="0" w:firstLine="0"/>
              <w:jc w:val="left"/>
              <w:rPr>
                <w:sz w:val="20"/>
              </w:rPr>
            </w:pPr>
            <w:r>
              <w:rPr>
                <w:sz w:val="20"/>
              </w:rPr>
              <w:t>In y</w:t>
            </w:r>
            <w:r w:rsidR="002F3F8F">
              <w:rPr>
                <w:sz w:val="20"/>
              </w:rPr>
              <w:t xml:space="preserve">our General Data Protection Regulations disclosure </w:t>
            </w:r>
            <w:r>
              <w:rPr>
                <w:sz w:val="20"/>
              </w:rPr>
              <w:t xml:space="preserve">advise </w:t>
            </w:r>
            <w:r w:rsidR="002F3F8F">
              <w:rPr>
                <w:sz w:val="20"/>
              </w:rPr>
              <w:t xml:space="preserve">your client that you will keep the other lawyer and estate agent updated on the </w:t>
            </w:r>
            <w:r w:rsidR="002F3F8F">
              <w:rPr>
                <w:sz w:val="20"/>
              </w:rPr>
              <w:lastRenderedPageBreak/>
              <w:t xml:space="preserve">progress of </w:t>
            </w:r>
            <w:r w:rsidR="00562C04">
              <w:rPr>
                <w:sz w:val="20"/>
              </w:rPr>
              <w:t xml:space="preserve">the transaction and </w:t>
            </w:r>
            <w:r w:rsidR="002F3F8F">
              <w:rPr>
                <w:sz w:val="20"/>
              </w:rPr>
              <w:t>any linked transaction and maintain such updates throughout the transaction.</w:t>
            </w:r>
            <w:r w:rsidR="0018137D">
              <w:rPr>
                <w:rStyle w:val="FootnoteReference"/>
                <w:sz w:val="20"/>
              </w:rPr>
              <w:footnoteReference w:id="5"/>
            </w:r>
            <w:r w:rsidR="002F3F8F">
              <w:rPr>
                <w:sz w:val="20"/>
              </w:rPr>
              <w:t xml:space="preserve"> </w:t>
            </w:r>
          </w:p>
          <w:p w14:paraId="7ED133CB" w14:textId="77777777" w:rsidR="009513DC" w:rsidRDefault="009513DC" w:rsidP="00122A9E">
            <w:pPr>
              <w:spacing w:afterLines="80" w:after="192" w:line="220" w:lineRule="exact"/>
              <w:ind w:left="6" w:right="0" w:firstLine="0"/>
              <w:jc w:val="left"/>
              <w:rPr>
                <w:sz w:val="20"/>
              </w:rPr>
            </w:pPr>
            <w:r>
              <w:rPr>
                <w:sz w:val="20"/>
              </w:rPr>
              <w:t>Routinely request the full chain information from the estate agent.</w:t>
            </w:r>
          </w:p>
          <w:p w14:paraId="65618C0C" w14:textId="1113DE33" w:rsidR="00080637" w:rsidRPr="00122A9E" w:rsidRDefault="00080637" w:rsidP="00122A9E">
            <w:pPr>
              <w:spacing w:afterLines="80" w:after="192" w:line="220" w:lineRule="exact"/>
              <w:ind w:left="6" w:right="0" w:firstLine="0"/>
              <w:jc w:val="left"/>
              <w:rPr>
                <w:sz w:val="20"/>
                <w:szCs w:val="20"/>
              </w:rPr>
            </w:pPr>
            <w:r w:rsidRPr="00122A9E">
              <w:rPr>
                <w:sz w:val="20"/>
                <w:szCs w:val="20"/>
              </w:rPr>
              <w:t xml:space="preserve">Ask for the Material Information provided by the estate agent under the Consumer Protection </w:t>
            </w:r>
            <w:proofErr w:type="gramStart"/>
            <w:r w:rsidRPr="00122A9E">
              <w:rPr>
                <w:sz w:val="20"/>
                <w:szCs w:val="20"/>
              </w:rPr>
              <w:t>From</w:t>
            </w:r>
            <w:proofErr w:type="gramEnd"/>
            <w:r w:rsidRPr="00122A9E">
              <w:rPr>
                <w:sz w:val="20"/>
                <w:szCs w:val="20"/>
              </w:rPr>
              <w:t xml:space="preserve"> Unfair Trading Regulations 2008.</w:t>
            </w:r>
          </w:p>
          <w:p w14:paraId="2D847411" w14:textId="3A47D32F" w:rsidR="002F3F8F" w:rsidRDefault="002F3F8F" w:rsidP="00122A9E">
            <w:pPr>
              <w:spacing w:afterLines="80" w:after="192" w:line="220" w:lineRule="exact"/>
              <w:ind w:left="6" w:right="0" w:firstLine="0"/>
              <w:jc w:val="left"/>
            </w:pPr>
            <w:r>
              <w:rPr>
                <w:sz w:val="20"/>
              </w:rPr>
              <w:t xml:space="preserve">Work </w:t>
            </w:r>
            <w:r w:rsidR="00CE5262">
              <w:rPr>
                <w:sz w:val="20"/>
              </w:rPr>
              <w:t xml:space="preserve">proactively </w:t>
            </w:r>
            <w:r>
              <w:rPr>
                <w:sz w:val="20"/>
              </w:rPr>
              <w:t xml:space="preserve">on a regular, diarised, file review cycle to ensure no outstanding issues are left un-progressed. </w:t>
            </w:r>
          </w:p>
          <w:p w14:paraId="7C6A3896" w14:textId="707D83E5" w:rsidR="000360F1" w:rsidRDefault="00985F99" w:rsidP="00122A9E">
            <w:pPr>
              <w:spacing w:afterLines="80" w:after="192" w:line="220" w:lineRule="exact"/>
              <w:ind w:left="0" w:right="0" w:firstLine="0"/>
              <w:jc w:val="left"/>
            </w:pPr>
            <w:r>
              <w:rPr>
                <w:sz w:val="20"/>
              </w:rPr>
              <w:t>Publish a generic conveyancing email address estate agents and lawyers can use to correspond before a fee earner has been appointed.</w:t>
            </w:r>
            <w:r w:rsidR="002F3F8F">
              <w:rPr>
                <w:sz w:val="20"/>
              </w:rPr>
              <w:t xml:space="preserve"> </w:t>
            </w:r>
          </w:p>
        </w:tc>
      </w:tr>
      <w:tr w:rsidR="000D3805" w14:paraId="4C0A5720" w14:textId="77777777" w:rsidTr="0065688B">
        <w:tblPrEx>
          <w:tblCellMar>
            <w:top w:w="6" w:type="dxa"/>
            <w:left w:w="107" w:type="dxa"/>
            <w:right w:w="63" w:type="dxa"/>
          </w:tblCellMar>
        </w:tblPrEx>
        <w:trPr>
          <w:gridBefore w:val="1"/>
          <w:wBefore w:w="12" w:type="dxa"/>
          <w:trHeight w:val="700"/>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EAD5EF"/>
          </w:tcPr>
          <w:p w14:paraId="267F607F" w14:textId="77777777" w:rsidR="000360F1" w:rsidRDefault="00B512BB" w:rsidP="007F35DF">
            <w:pPr>
              <w:spacing w:after="0" w:line="259" w:lineRule="auto"/>
              <w:ind w:left="0" w:right="0" w:firstLine="0"/>
              <w:jc w:val="left"/>
            </w:pPr>
            <w:r>
              <w:rPr>
                <w:b/>
                <w:sz w:val="20"/>
              </w:rPr>
              <w:lastRenderedPageBreak/>
              <w:t xml:space="preserve"> </w:t>
            </w:r>
          </w:p>
          <w:p w14:paraId="7FA59F0E" w14:textId="77777777" w:rsidR="000360F1" w:rsidRDefault="00B512BB" w:rsidP="007F35DF">
            <w:pPr>
              <w:spacing w:after="0" w:line="259" w:lineRule="auto"/>
              <w:ind w:left="0" w:right="0" w:firstLine="0"/>
              <w:jc w:val="left"/>
            </w:pPr>
            <w:r>
              <w:rPr>
                <w:b/>
                <w:sz w:val="20"/>
              </w:rPr>
              <w:t xml:space="preserve">1.1 Delays in the transaction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D3E1C3" w14:textId="77777777" w:rsidR="000360F1" w:rsidRDefault="00B512BB" w:rsidP="007F35DF">
            <w:pPr>
              <w:spacing w:after="0" w:line="259" w:lineRule="auto"/>
              <w:ind w:left="0" w:right="0" w:firstLine="0"/>
              <w:jc w:val="left"/>
            </w:pPr>
            <w:r>
              <w:rPr>
                <w:sz w:val="20"/>
              </w:rPr>
              <w:t xml:space="preserve"> </w:t>
            </w:r>
          </w:p>
          <w:p w14:paraId="4E88AB1D" w14:textId="77777777" w:rsidR="000360F1" w:rsidRDefault="00B512BB" w:rsidP="007F35DF">
            <w:pPr>
              <w:spacing w:after="0" w:line="259" w:lineRule="auto"/>
              <w:ind w:left="0" w:right="0" w:firstLine="0"/>
              <w:jc w:val="left"/>
            </w:pPr>
            <w:r>
              <w:rPr>
                <w:sz w:val="20"/>
              </w:rPr>
              <w:t xml:space="preserve">Monies on Account </w:t>
            </w:r>
          </w:p>
        </w:tc>
        <w:tc>
          <w:tcPr>
            <w:tcW w:w="4905" w:type="dxa"/>
            <w:tcBorders>
              <w:top w:val="single" w:sz="4" w:space="0" w:color="000000"/>
              <w:left w:val="single" w:sz="4" w:space="0" w:color="000000"/>
              <w:bottom w:val="single" w:sz="4" w:space="0" w:color="000000"/>
              <w:right w:val="single" w:sz="4" w:space="0" w:color="000000"/>
            </w:tcBorders>
          </w:tcPr>
          <w:p w14:paraId="1E0615D6" w14:textId="77777777" w:rsidR="001E1360" w:rsidRDefault="001E1360" w:rsidP="007F35DF">
            <w:pPr>
              <w:spacing w:after="0" w:line="259" w:lineRule="auto"/>
              <w:ind w:left="0" w:right="0" w:firstLine="0"/>
              <w:jc w:val="left"/>
            </w:pPr>
          </w:p>
          <w:p w14:paraId="13C1C0F7" w14:textId="48EDA484" w:rsidR="00080637" w:rsidRDefault="00B512BB" w:rsidP="00122A9E">
            <w:pPr>
              <w:spacing w:afterLines="80" w:after="192" w:line="220" w:lineRule="exact"/>
              <w:ind w:left="4" w:right="0" w:firstLine="0"/>
              <w:jc w:val="left"/>
              <w:rPr>
                <w:sz w:val="20"/>
              </w:rPr>
            </w:pPr>
            <w:r>
              <w:rPr>
                <w:sz w:val="20"/>
              </w:rPr>
              <w:t>Collect monies on account from clients at the earliest opportunity.</w:t>
            </w:r>
          </w:p>
          <w:p w14:paraId="232B37D9" w14:textId="6560936D" w:rsidR="000360F1" w:rsidRDefault="00080637" w:rsidP="00122A9E">
            <w:pPr>
              <w:spacing w:afterLines="80" w:after="192" w:line="220" w:lineRule="exact"/>
              <w:ind w:left="4" w:right="0" w:firstLine="0"/>
              <w:jc w:val="left"/>
            </w:pPr>
            <w:r>
              <w:rPr>
                <w:sz w:val="20"/>
              </w:rPr>
              <w:t xml:space="preserve">Highlight early on to clients they should check what limit their bank </w:t>
            </w:r>
            <w:r w:rsidR="00CD2F43">
              <w:rPr>
                <w:sz w:val="20"/>
              </w:rPr>
              <w:t>imposes on</w:t>
            </w:r>
            <w:r>
              <w:rPr>
                <w:sz w:val="20"/>
              </w:rPr>
              <w:t xml:space="preserve"> the amount of money which they can send at any one time</w:t>
            </w:r>
            <w:r w:rsidR="00CD2F43">
              <w:rPr>
                <w:sz w:val="20"/>
              </w:rPr>
              <w:t xml:space="preserve"> through online banking</w:t>
            </w:r>
            <w:r>
              <w:rPr>
                <w:sz w:val="20"/>
              </w:rPr>
              <w:t>.</w:t>
            </w:r>
          </w:p>
        </w:tc>
      </w:tr>
      <w:tr w:rsidR="000D3805" w14:paraId="1F3DECDE" w14:textId="77777777" w:rsidTr="0065688B">
        <w:tblPrEx>
          <w:tblCellMar>
            <w:top w:w="6" w:type="dxa"/>
            <w:left w:w="107" w:type="dxa"/>
            <w:right w:w="63" w:type="dxa"/>
          </w:tblCellMar>
        </w:tblPrEx>
        <w:trPr>
          <w:gridBefore w:val="1"/>
          <w:wBefore w:w="12" w:type="dxa"/>
          <w:trHeight w:val="1159"/>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EAD5EF"/>
          </w:tcPr>
          <w:p w14:paraId="43BD318E" w14:textId="77777777" w:rsidR="000360F1" w:rsidRDefault="00B512BB" w:rsidP="007F35DF">
            <w:pPr>
              <w:spacing w:after="0" w:line="259" w:lineRule="auto"/>
              <w:ind w:left="0" w:right="0" w:firstLine="0"/>
              <w:jc w:val="left"/>
            </w:pPr>
            <w:r>
              <w:rPr>
                <w:b/>
                <w:sz w:val="20"/>
              </w:rPr>
              <w:t xml:space="preserve"> </w:t>
            </w:r>
          </w:p>
          <w:p w14:paraId="4C22E0A3" w14:textId="77777777" w:rsidR="000360F1" w:rsidRDefault="00B512BB" w:rsidP="007F35DF">
            <w:pPr>
              <w:spacing w:after="0" w:line="259" w:lineRule="auto"/>
              <w:ind w:left="0" w:right="0" w:firstLine="0"/>
              <w:jc w:val="left"/>
            </w:pPr>
            <w:r>
              <w:rPr>
                <w:b/>
                <w:sz w:val="20"/>
              </w:rPr>
              <w:t xml:space="preserve">1.2 Delays in the transaction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10B510" w14:textId="77777777" w:rsidR="000360F1" w:rsidRDefault="00B512BB" w:rsidP="007F35DF">
            <w:pPr>
              <w:spacing w:after="0" w:line="259" w:lineRule="auto"/>
              <w:ind w:left="0" w:right="0" w:firstLine="0"/>
              <w:jc w:val="left"/>
            </w:pPr>
            <w:r>
              <w:rPr>
                <w:sz w:val="20"/>
              </w:rPr>
              <w:t xml:space="preserve"> </w:t>
            </w:r>
          </w:p>
          <w:p w14:paraId="28FF1D93" w14:textId="77777777" w:rsidR="000360F1" w:rsidRDefault="00B512BB" w:rsidP="007F35DF">
            <w:pPr>
              <w:spacing w:after="0" w:line="259" w:lineRule="auto"/>
              <w:ind w:left="0" w:right="0" w:firstLine="0"/>
              <w:jc w:val="left"/>
            </w:pPr>
            <w:r>
              <w:rPr>
                <w:sz w:val="20"/>
              </w:rPr>
              <w:t xml:space="preserve">Covering Staff </w:t>
            </w:r>
          </w:p>
          <w:p w14:paraId="5E1E667E" w14:textId="77777777" w:rsidR="000360F1" w:rsidRDefault="00B512BB" w:rsidP="007F35DF">
            <w:pPr>
              <w:spacing w:after="0" w:line="259" w:lineRule="auto"/>
              <w:ind w:left="0" w:right="0" w:firstLine="0"/>
              <w:jc w:val="left"/>
            </w:pPr>
            <w:r>
              <w:rPr>
                <w:sz w:val="20"/>
              </w:rPr>
              <w:t xml:space="preserve">Absences </w:t>
            </w:r>
          </w:p>
        </w:tc>
        <w:tc>
          <w:tcPr>
            <w:tcW w:w="4905" w:type="dxa"/>
            <w:tcBorders>
              <w:top w:val="single" w:sz="4" w:space="0" w:color="000000"/>
              <w:left w:val="single" w:sz="4" w:space="0" w:color="000000"/>
              <w:bottom w:val="single" w:sz="4" w:space="0" w:color="000000"/>
              <w:right w:val="single" w:sz="4" w:space="0" w:color="000000"/>
            </w:tcBorders>
          </w:tcPr>
          <w:p w14:paraId="10C216BC" w14:textId="77777777" w:rsidR="001E1360" w:rsidRDefault="001E1360" w:rsidP="007F35DF">
            <w:pPr>
              <w:spacing w:after="0" w:line="259" w:lineRule="auto"/>
              <w:ind w:left="0" w:right="0" w:firstLine="0"/>
              <w:jc w:val="left"/>
            </w:pPr>
          </w:p>
          <w:p w14:paraId="43F814AC" w14:textId="5FCD2CE0" w:rsidR="000360F1" w:rsidRDefault="00B512BB" w:rsidP="00122A9E">
            <w:pPr>
              <w:spacing w:afterLines="80" w:after="192" w:line="220" w:lineRule="exact"/>
              <w:ind w:left="4" w:right="0" w:firstLine="0"/>
              <w:jc w:val="left"/>
            </w:pPr>
            <w:r>
              <w:rPr>
                <w:sz w:val="20"/>
              </w:rPr>
              <w:t xml:space="preserve">Ensure proper arrangements are made for cover for staff absences. Email and voicemail accounts should be monitored during staff absences. </w:t>
            </w:r>
          </w:p>
        </w:tc>
      </w:tr>
      <w:tr w:rsidR="000D3805" w14:paraId="47E65C94" w14:textId="77777777" w:rsidTr="0065688B">
        <w:tblPrEx>
          <w:tblCellMar>
            <w:top w:w="6" w:type="dxa"/>
            <w:left w:w="107" w:type="dxa"/>
            <w:right w:w="63" w:type="dxa"/>
          </w:tblCellMar>
        </w:tblPrEx>
        <w:trPr>
          <w:gridBefore w:val="1"/>
          <w:wBefore w:w="12" w:type="dxa"/>
          <w:trHeight w:val="551"/>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EAD5EF"/>
          </w:tcPr>
          <w:p w14:paraId="25B4C715" w14:textId="77777777" w:rsidR="000360F1" w:rsidRDefault="00B512BB" w:rsidP="007F35DF">
            <w:pPr>
              <w:spacing w:after="0" w:line="259" w:lineRule="auto"/>
              <w:ind w:left="0" w:right="0" w:firstLine="0"/>
              <w:jc w:val="left"/>
            </w:pPr>
            <w:r>
              <w:rPr>
                <w:b/>
                <w:sz w:val="20"/>
              </w:rPr>
              <w:t xml:space="preserve"> </w:t>
            </w:r>
          </w:p>
          <w:p w14:paraId="23464094" w14:textId="77777777" w:rsidR="000360F1" w:rsidRDefault="00B512BB" w:rsidP="007F35DF">
            <w:pPr>
              <w:spacing w:after="0" w:line="259" w:lineRule="auto"/>
              <w:ind w:left="0" w:right="0" w:firstLine="0"/>
              <w:jc w:val="left"/>
            </w:pPr>
            <w:r>
              <w:rPr>
                <w:b/>
                <w:sz w:val="20"/>
              </w:rPr>
              <w:t xml:space="preserve">1.3 Delays in the transaction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284056" w14:textId="77777777" w:rsidR="000360F1" w:rsidRDefault="00B512BB" w:rsidP="007F35DF">
            <w:pPr>
              <w:spacing w:after="0" w:line="259" w:lineRule="auto"/>
              <w:ind w:left="0" w:right="0" w:firstLine="0"/>
              <w:jc w:val="left"/>
            </w:pPr>
            <w:r>
              <w:rPr>
                <w:sz w:val="20"/>
              </w:rPr>
              <w:t xml:space="preserve"> </w:t>
            </w:r>
          </w:p>
          <w:p w14:paraId="78390386" w14:textId="77777777" w:rsidR="000360F1" w:rsidRDefault="00B512BB" w:rsidP="007F35DF">
            <w:pPr>
              <w:spacing w:after="0" w:line="259" w:lineRule="auto"/>
              <w:ind w:left="0" w:right="0" w:firstLine="0"/>
              <w:jc w:val="left"/>
            </w:pPr>
            <w:r>
              <w:rPr>
                <w:sz w:val="20"/>
              </w:rPr>
              <w:t xml:space="preserve">Obtain Identity Verification upon instruction. </w:t>
            </w:r>
          </w:p>
        </w:tc>
        <w:tc>
          <w:tcPr>
            <w:tcW w:w="4905" w:type="dxa"/>
            <w:tcBorders>
              <w:top w:val="single" w:sz="4" w:space="0" w:color="000000"/>
              <w:left w:val="single" w:sz="4" w:space="0" w:color="000000"/>
              <w:bottom w:val="single" w:sz="4" w:space="0" w:color="000000"/>
              <w:right w:val="single" w:sz="4" w:space="0" w:color="000000"/>
            </w:tcBorders>
          </w:tcPr>
          <w:p w14:paraId="23EC7DFB" w14:textId="77777777" w:rsidR="001E1360" w:rsidRDefault="001E1360" w:rsidP="007F35DF">
            <w:pPr>
              <w:spacing w:after="0" w:line="259" w:lineRule="auto"/>
              <w:ind w:left="0" w:right="0" w:firstLine="0"/>
              <w:jc w:val="left"/>
            </w:pPr>
          </w:p>
          <w:p w14:paraId="64F48672" w14:textId="5D3F6DCE" w:rsidR="000360F1" w:rsidRPr="00122A9E" w:rsidRDefault="00B512BB" w:rsidP="00122A9E">
            <w:pPr>
              <w:spacing w:afterLines="80" w:after="192" w:line="220" w:lineRule="exact"/>
              <w:ind w:left="4" w:right="0" w:firstLine="0"/>
              <w:jc w:val="left"/>
              <w:rPr>
                <w:sz w:val="20"/>
                <w:szCs w:val="20"/>
              </w:rPr>
            </w:pPr>
            <w:r>
              <w:rPr>
                <w:sz w:val="20"/>
              </w:rPr>
              <w:t xml:space="preserve">As part of the Due Diligence process, and as good customer service, the Law Firm should consider accepting evidence of Identity from a </w:t>
            </w:r>
            <w:r w:rsidRPr="007A1699">
              <w:rPr>
                <w:sz w:val="20"/>
                <w:szCs w:val="20"/>
              </w:rPr>
              <w:t xml:space="preserve">trusted third party in accordance with the principles of reliance or agency set out in clause </w:t>
            </w:r>
            <w:r w:rsidR="002F3F8F" w:rsidRPr="007A1699">
              <w:rPr>
                <w:sz w:val="20"/>
                <w:szCs w:val="20"/>
              </w:rPr>
              <w:t>39(7)</w:t>
            </w:r>
            <w:r w:rsidRPr="007A1699">
              <w:rPr>
                <w:sz w:val="20"/>
                <w:szCs w:val="20"/>
              </w:rPr>
              <w:t xml:space="preserve"> of the Money Laundering Regulations 20</w:t>
            </w:r>
            <w:r w:rsidR="002F3F8F" w:rsidRPr="007A1699">
              <w:rPr>
                <w:sz w:val="20"/>
                <w:szCs w:val="20"/>
              </w:rPr>
              <w:t>1</w:t>
            </w:r>
            <w:r w:rsidRPr="007A1699">
              <w:rPr>
                <w:sz w:val="20"/>
                <w:szCs w:val="20"/>
              </w:rPr>
              <w:t xml:space="preserve">7 and in line with the Law Firm’s risk assessment of the transaction and </w:t>
            </w:r>
            <w:r w:rsidRPr="00122A9E">
              <w:rPr>
                <w:sz w:val="20"/>
                <w:szCs w:val="20"/>
              </w:rPr>
              <w:t>the client.</w:t>
            </w:r>
            <w:r w:rsidRPr="00122A9E">
              <w:rPr>
                <w:sz w:val="20"/>
                <w:szCs w:val="20"/>
                <w:vertAlign w:val="superscript"/>
              </w:rPr>
              <w:footnoteReference w:id="6"/>
            </w:r>
            <w:r w:rsidRPr="00122A9E">
              <w:rPr>
                <w:sz w:val="20"/>
                <w:szCs w:val="20"/>
              </w:rPr>
              <w:t xml:space="preserve"> </w:t>
            </w:r>
            <w:r w:rsidR="00E60FD7" w:rsidRPr="00122A9E">
              <w:rPr>
                <w:rFonts w:eastAsia="Times New Roman"/>
                <w:color w:val="auto"/>
                <w:kern w:val="36"/>
                <w:sz w:val="20"/>
                <w:szCs w:val="20"/>
              </w:rPr>
              <w:t xml:space="preserve">Using UK </w:t>
            </w:r>
            <w:r w:rsidR="005D3E8B">
              <w:rPr>
                <w:rFonts w:eastAsia="Times New Roman"/>
                <w:color w:val="auto"/>
                <w:kern w:val="36"/>
                <w:sz w:val="20"/>
                <w:szCs w:val="20"/>
              </w:rPr>
              <w:t>D</w:t>
            </w:r>
            <w:r w:rsidR="00E60FD7" w:rsidRPr="00122A9E">
              <w:rPr>
                <w:rFonts w:eastAsia="Times New Roman"/>
                <w:color w:val="auto"/>
                <w:kern w:val="36"/>
                <w:sz w:val="20"/>
                <w:szCs w:val="20"/>
              </w:rPr>
              <w:t xml:space="preserve">igital </w:t>
            </w:r>
            <w:r w:rsidR="005D3E8B">
              <w:rPr>
                <w:rFonts w:eastAsia="Times New Roman"/>
                <w:color w:val="auto"/>
                <w:kern w:val="36"/>
                <w:sz w:val="20"/>
                <w:szCs w:val="20"/>
              </w:rPr>
              <w:t>I</w:t>
            </w:r>
            <w:r w:rsidR="00E60FD7" w:rsidRPr="00122A9E">
              <w:rPr>
                <w:rFonts w:eastAsia="Times New Roman"/>
                <w:color w:val="auto"/>
                <w:kern w:val="36"/>
                <w:sz w:val="20"/>
                <w:szCs w:val="20"/>
              </w:rPr>
              <w:t xml:space="preserve">dentity and </w:t>
            </w:r>
            <w:r w:rsidR="005D3E8B">
              <w:rPr>
                <w:rFonts w:eastAsia="Times New Roman"/>
                <w:color w:val="auto"/>
                <w:kern w:val="36"/>
                <w:sz w:val="20"/>
                <w:szCs w:val="20"/>
              </w:rPr>
              <w:t>A</w:t>
            </w:r>
            <w:r w:rsidR="00E60FD7" w:rsidRPr="00122A9E">
              <w:rPr>
                <w:rFonts w:eastAsia="Times New Roman"/>
                <w:color w:val="auto"/>
                <w:kern w:val="36"/>
                <w:sz w:val="20"/>
                <w:szCs w:val="20"/>
              </w:rPr>
              <w:t xml:space="preserve">ttributes </w:t>
            </w:r>
            <w:r w:rsidR="005D3E8B">
              <w:rPr>
                <w:rFonts w:eastAsia="Times New Roman"/>
                <w:color w:val="auto"/>
                <w:kern w:val="36"/>
                <w:sz w:val="20"/>
                <w:szCs w:val="20"/>
              </w:rPr>
              <w:t>T</w:t>
            </w:r>
            <w:r w:rsidR="00E60FD7" w:rsidRPr="00122A9E">
              <w:rPr>
                <w:rFonts w:eastAsia="Times New Roman"/>
                <w:color w:val="auto"/>
                <w:kern w:val="36"/>
                <w:sz w:val="20"/>
                <w:szCs w:val="20"/>
              </w:rPr>
              <w:t xml:space="preserve">rust </w:t>
            </w:r>
            <w:r w:rsidR="005D3E8B">
              <w:rPr>
                <w:rFonts w:eastAsia="Times New Roman"/>
                <w:color w:val="auto"/>
                <w:kern w:val="36"/>
                <w:sz w:val="20"/>
                <w:szCs w:val="20"/>
              </w:rPr>
              <w:t>F</w:t>
            </w:r>
            <w:r w:rsidR="00E60FD7" w:rsidRPr="00122A9E">
              <w:rPr>
                <w:rFonts w:eastAsia="Times New Roman"/>
                <w:color w:val="auto"/>
                <w:kern w:val="36"/>
                <w:sz w:val="20"/>
                <w:szCs w:val="20"/>
              </w:rPr>
              <w:t>ramework </w:t>
            </w:r>
            <w:r w:rsidR="00E60FD7" w:rsidRPr="00122A9E">
              <w:rPr>
                <w:sz w:val="20"/>
                <w:szCs w:val="20"/>
              </w:rPr>
              <w:t>compliant digital ID enables the digital ID Certificate to be shared amongst stakeholders.</w:t>
            </w:r>
          </w:p>
          <w:p w14:paraId="516CC290" w14:textId="75EE69E2" w:rsidR="00F94D00" w:rsidRDefault="002935EF" w:rsidP="00122A9E">
            <w:pPr>
              <w:spacing w:afterLines="80" w:after="192" w:line="220" w:lineRule="exact"/>
              <w:ind w:left="4" w:right="0" w:firstLine="0"/>
              <w:jc w:val="left"/>
              <w:rPr>
                <w:sz w:val="20"/>
              </w:rPr>
            </w:pPr>
            <w:r>
              <w:rPr>
                <w:sz w:val="20"/>
              </w:rPr>
              <w:t xml:space="preserve">To </w:t>
            </w:r>
            <w:r w:rsidR="00885C1A">
              <w:rPr>
                <w:sz w:val="20"/>
              </w:rPr>
              <w:t xml:space="preserve">help </w:t>
            </w:r>
            <w:r>
              <w:rPr>
                <w:sz w:val="20"/>
              </w:rPr>
              <w:t xml:space="preserve">protect the firm and a buyer from fraud you should </w:t>
            </w:r>
            <w:r w:rsidR="0018137D">
              <w:rPr>
                <w:sz w:val="20"/>
              </w:rPr>
              <w:t xml:space="preserve">avoid </w:t>
            </w:r>
            <w:r w:rsidR="009513DC">
              <w:rPr>
                <w:sz w:val="20"/>
              </w:rPr>
              <w:t>relying wholly on</w:t>
            </w:r>
            <w:r w:rsidR="0018137D">
              <w:rPr>
                <w:sz w:val="20"/>
              </w:rPr>
              <w:t xml:space="preserve"> certified copies and instead </w:t>
            </w:r>
            <w:r>
              <w:rPr>
                <w:sz w:val="20"/>
              </w:rPr>
              <w:t xml:space="preserve">use </w:t>
            </w:r>
            <w:r w:rsidR="00E60FD7">
              <w:rPr>
                <w:sz w:val="20"/>
              </w:rPr>
              <w:t xml:space="preserve">a digital </w:t>
            </w:r>
            <w:r w:rsidR="0018137D">
              <w:rPr>
                <w:sz w:val="20"/>
              </w:rPr>
              <w:t xml:space="preserve">identity and </w:t>
            </w:r>
            <w:r>
              <w:rPr>
                <w:sz w:val="20"/>
              </w:rPr>
              <w:t>anti</w:t>
            </w:r>
            <w:r w:rsidR="00BA315E">
              <w:rPr>
                <w:sz w:val="20"/>
              </w:rPr>
              <w:t>-</w:t>
            </w:r>
            <w:r>
              <w:rPr>
                <w:sz w:val="20"/>
              </w:rPr>
              <w:t xml:space="preserve">money laundering check which </w:t>
            </w:r>
            <w:r w:rsidR="0018137D">
              <w:rPr>
                <w:sz w:val="20"/>
              </w:rPr>
              <w:t xml:space="preserve">incorporates biometric checks and </w:t>
            </w:r>
            <w:r>
              <w:rPr>
                <w:sz w:val="20"/>
              </w:rPr>
              <w:t xml:space="preserve">can identify potentially fraudulent use of identity. </w:t>
            </w:r>
          </w:p>
          <w:p w14:paraId="2F9A2767" w14:textId="473B876B" w:rsidR="000360F1" w:rsidRDefault="00F94D00" w:rsidP="00122A9E">
            <w:pPr>
              <w:spacing w:afterLines="80" w:after="192" w:line="220" w:lineRule="exact"/>
              <w:ind w:left="4" w:right="0" w:firstLine="0"/>
              <w:jc w:val="left"/>
            </w:pPr>
            <w:r>
              <w:rPr>
                <w:sz w:val="20"/>
              </w:rPr>
              <w:t xml:space="preserve">To </w:t>
            </w:r>
            <w:r w:rsidR="00885C1A">
              <w:rPr>
                <w:sz w:val="20"/>
              </w:rPr>
              <w:t xml:space="preserve">help </w:t>
            </w:r>
            <w:r>
              <w:rPr>
                <w:sz w:val="20"/>
              </w:rPr>
              <w:t>avoid seller ID fraud, staff should be aware of indicators of high</w:t>
            </w:r>
            <w:r w:rsidR="00E16D3A">
              <w:rPr>
                <w:sz w:val="20"/>
              </w:rPr>
              <w:t>-</w:t>
            </w:r>
            <w:r>
              <w:rPr>
                <w:sz w:val="20"/>
              </w:rPr>
              <w:t xml:space="preserve">risk properties </w:t>
            </w:r>
            <w:r w:rsidR="00E16D3A">
              <w:rPr>
                <w:sz w:val="20"/>
              </w:rPr>
              <w:t>e.g.</w:t>
            </w:r>
            <w:r>
              <w:rPr>
                <w:sz w:val="20"/>
              </w:rPr>
              <w:t xml:space="preserve"> a sole owner, no mortgage,</w:t>
            </w:r>
            <w:r w:rsidR="00076585">
              <w:rPr>
                <w:sz w:val="20"/>
              </w:rPr>
              <w:t xml:space="preserve"> payments</w:t>
            </w:r>
            <w:r w:rsidR="00447612">
              <w:rPr>
                <w:sz w:val="20"/>
              </w:rPr>
              <w:t xml:space="preserve"> outside of the UK </w:t>
            </w:r>
            <w:r w:rsidR="00076585">
              <w:rPr>
                <w:sz w:val="20"/>
              </w:rPr>
              <w:t xml:space="preserve">or where the seller’s address is not the property address. In these </w:t>
            </w:r>
            <w:r w:rsidR="00F21D63">
              <w:rPr>
                <w:sz w:val="20"/>
              </w:rPr>
              <w:t>cases,</w:t>
            </w:r>
            <w:r w:rsidR="00076585">
              <w:rPr>
                <w:sz w:val="20"/>
              </w:rPr>
              <w:t xml:space="preserve"> additional checks should be undertaken to </w:t>
            </w:r>
            <w:r w:rsidR="00A746AA">
              <w:rPr>
                <w:sz w:val="20"/>
              </w:rPr>
              <w:t>ensure the seller is genuine</w:t>
            </w:r>
            <w:r w:rsidR="00076585">
              <w:rPr>
                <w:sz w:val="20"/>
              </w:rPr>
              <w:t>.</w:t>
            </w:r>
          </w:p>
        </w:tc>
      </w:tr>
      <w:tr w:rsidR="000D3805" w14:paraId="36BE43B8" w14:textId="77777777" w:rsidTr="0065688B">
        <w:tblPrEx>
          <w:tblCellMar>
            <w:top w:w="6" w:type="dxa"/>
            <w:left w:w="107" w:type="dxa"/>
            <w:right w:w="63" w:type="dxa"/>
          </w:tblCellMar>
        </w:tblPrEx>
        <w:trPr>
          <w:gridBefore w:val="1"/>
          <w:wBefore w:w="12" w:type="dxa"/>
          <w:trHeight w:val="2310"/>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EAD5EF"/>
          </w:tcPr>
          <w:p w14:paraId="6B7A8283" w14:textId="77777777" w:rsidR="000360F1" w:rsidRDefault="00B512BB" w:rsidP="007F35DF">
            <w:pPr>
              <w:spacing w:after="0" w:line="259" w:lineRule="auto"/>
              <w:ind w:left="0" w:right="0" w:firstLine="0"/>
              <w:jc w:val="left"/>
            </w:pPr>
            <w:r>
              <w:rPr>
                <w:b/>
                <w:sz w:val="20"/>
              </w:rPr>
              <w:t xml:space="preserve"> </w:t>
            </w:r>
          </w:p>
          <w:p w14:paraId="55EDD93E" w14:textId="77777777" w:rsidR="000360F1" w:rsidRDefault="00B512BB" w:rsidP="007F35DF">
            <w:pPr>
              <w:spacing w:after="0" w:line="259" w:lineRule="auto"/>
              <w:ind w:left="0" w:right="0" w:firstLine="0"/>
              <w:jc w:val="left"/>
            </w:pPr>
            <w:r>
              <w:rPr>
                <w:b/>
                <w:sz w:val="20"/>
              </w:rPr>
              <w:t xml:space="preserve">1.4 Delays in the transaction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B410E4" w14:textId="77777777" w:rsidR="000360F1" w:rsidRDefault="00B512BB" w:rsidP="007F35DF">
            <w:pPr>
              <w:spacing w:after="0" w:line="259" w:lineRule="auto"/>
              <w:ind w:left="0" w:right="0" w:firstLine="0"/>
              <w:jc w:val="left"/>
            </w:pPr>
            <w:r>
              <w:rPr>
                <w:sz w:val="20"/>
              </w:rPr>
              <w:t xml:space="preserve"> </w:t>
            </w:r>
          </w:p>
          <w:p w14:paraId="36F8CDD9" w14:textId="77777777" w:rsidR="000360F1" w:rsidRDefault="00B512BB" w:rsidP="007F35DF">
            <w:pPr>
              <w:spacing w:after="0" w:line="259" w:lineRule="auto"/>
              <w:ind w:left="0" w:right="0" w:firstLine="0"/>
              <w:jc w:val="left"/>
            </w:pPr>
            <w:r>
              <w:rPr>
                <w:sz w:val="20"/>
              </w:rPr>
              <w:t xml:space="preserve">Obtain evidence of source of funds early </w:t>
            </w:r>
          </w:p>
        </w:tc>
        <w:tc>
          <w:tcPr>
            <w:tcW w:w="4905" w:type="dxa"/>
            <w:tcBorders>
              <w:top w:val="single" w:sz="4" w:space="0" w:color="000000"/>
              <w:left w:val="single" w:sz="4" w:space="0" w:color="000000"/>
              <w:bottom w:val="single" w:sz="4" w:space="0" w:color="000000"/>
              <w:right w:val="single" w:sz="4" w:space="0" w:color="000000"/>
            </w:tcBorders>
          </w:tcPr>
          <w:p w14:paraId="5C58BE9D" w14:textId="77777777" w:rsidR="001E1360" w:rsidRDefault="001E1360" w:rsidP="007F35DF">
            <w:pPr>
              <w:spacing w:after="0" w:line="259" w:lineRule="auto"/>
              <w:ind w:left="0" w:right="0" w:firstLine="0"/>
              <w:jc w:val="left"/>
            </w:pPr>
          </w:p>
          <w:p w14:paraId="6FFF787D" w14:textId="34B03F5A" w:rsidR="000360F1" w:rsidRDefault="00AC61BA" w:rsidP="00122A9E">
            <w:pPr>
              <w:spacing w:afterLines="80" w:after="192" w:line="220" w:lineRule="exact"/>
              <w:ind w:left="4" w:right="0" w:firstLine="0"/>
              <w:jc w:val="left"/>
            </w:pPr>
            <w:r>
              <w:rPr>
                <w:sz w:val="20"/>
              </w:rPr>
              <w:t xml:space="preserve">Consider utilising an </w:t>
            </w:r>
            <w:r w:rsidR="00BA315E">
              <w:rPr>
                <w:sz w:val="20"/>
              </w:rPr>
              <w:t>Open Banking</w:t>
            </w:r>
            <w:r>
              <w:rPr>
                <w:sz w:val="20"/>
              </w:rPr>
              <w:t xml:space="preserve"> technology provider</w:t>
            </w:r>
            <w:r w:rsidR="009513DC">
              <w:rPr>
                <w:rStyle w:val="FootnoteReference"/>
                <w:sz w:val="20"/>
              </w:rPr>
              <w:footnoteReference w:id="7"/>
            </w:r>
            <w:r>
              <w:rPr>
                <w:sz w:val="20"/>
              </w:rPr>
              <w:t xml:space="preserve"> to establish source of funds. </w:t>
            </w:r>
            <w:r w:rsidR="00B512BB">
              <w:rPr>
                <w:sz w:val="20"/>
              </w:rPr>
              <w:t>In line with the Law Firm’s risk assessment, establish source of funds at the earliest possible stage advising that information relating to gifts or loans will be reported to the lender</w:t>
            </w:r>
            <w:r w:rsidR="00B512BB">
              <w:rPr>
                <w:sz w:val="20"/>
                <w:vertAlign w:val="superscript"/>
              </w:rPr>
              <w:footnoteReference w:id="8"/>
            </w:r>
            <w:r w:rsidR="00B512BB">
              <w:rPr>
                <w:sz w:val="20"/>
              </w:rPr>
              <w:t xml:space="preserve"> and the buyer should include this information on their mortgage application. Highlight that further evidence of source of funds might be required at a later stage. </w:t>
            </w:r>
          </w:p>
        </w:tc>
      </w:tr>
      <w:tr w:rsidR="000D3805" w14:paraId="415F1305" w14:textId="77777777" w:rsidTr="0065688B">
        <w:tblPrEx>
          <w:tblCellMar>
            <w:top w:w="6" w:type="dxa"/>
            <w:left w:w="107" w:type="dxa"/>
            <w:right w:w="63" w:type="dxa"/>
          </w:tblCellMar>
        </w:tblPrEx>
        <w:trPr>
          <w:gridBefore w:val="1"/>
          <w:wBefore w:w="12" w:type="dxa"/>
          <w:trHeight w:val="545"/>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EAD5EF"/>
          </w:tcPr>
          <w:p w14:paraId="638090CE" w14:textId="77777777" w:rsidR="00BA315E" w:rsidRDefault="00BA315E" w:rsidP="007F35DF">
            <w:pPr>
              <w:spacing w:after="0" w:line="259" w:lineRule="auto"/>
              <w:ind w:left="0" w:right="0" w:firstLine="0"/>
              <w:jc w:val="left"/>
              <w:rPr>
                <w:b/>
                <w:sz w:val="20"/>
              </w:rPr>
            </w:pPr>
          </w:p>
          <w:p w14:paraId="307AA705" w14:textId="56610819" w:rsidR="00AC61BA" w:rsidRDefault="00AC61BA" w:rsidP="007F35DF">
            <w:pPr>
              <w:spacing w:after="0" w:line="259" w:lineRule="auto"/>
              <w:ind w:left="0" w:right="0" w:firstLine="0"/>
              <w:jc w:val="left"/>
              <w:rPr>
                <w:b/>
                <w:sz w:val="20"/>
              </w:rPr>
            </w:pPr>
            <w:r>
              <w:rPr>
                <w:b/>
                <w:sz w:val="20"/>
              </w:rPr>
              <w:t>1.5 Delays in the transaction</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69F053" w14:textId="77777777" w:rsidR="00BA315E" w:rsidRDefault="00BA315E" w:rsidP="007F35DF">
            <w:pPr>
              <w:spacing w:after="0" w:line="259" w:lineRule="auto"/>
              <w:ind w:left="0" w:right="0" w:firstLine="0"/>
              <w:jc w:val="left"/>
              <w:rPr>
                <w:sz w:val="20"/>
              </w:rPr>
            </w:pPr>
          </w:p>
          <w:p w14:paraId="6C663418" w14:textId="687B25E7" w:rsidR="00AC61BA" w:rsidRDefault="00AC61BA" w:rsidP="007F35DF">
            <w:pPr>
              <w:spacing w:after="0" w:line="259" w:lineRule="auto"/>
              <w:ind w:left="0" w:right="0" w:firstLine="0"/>
              <w:jc w:val="left"/>
              <w:rPr>
                <w:sz w:val="20"/>
              </w:rPr>
            </w:pPr>
            <w:r>
              <w:rPr>
                <w:sz w:val="20"/>
              </w:rPr>
              <w:t>Post</w:t>
            </w:r>
            <w:r w:rsidR="00BA315E">
              <w:rPr>
                <w:sz w:val="20"/>
              </w:rPr>
              <w:t>-</w:t>
            </w:r>
            <w:r>
              <w:rPr>
                <w:sz w:val="20"/>
              </w:rPr>
              <w:t>valuation queries</w:t>
            </w:r>
          </w:p>
        </w:tc>
        <w:tc>
          <w:tcPr>
            <w:tcW w:w="4905" w:type="dxa"/>
            <w:tcBorders>
              <w:top w:val="single" w:sz="4" w:space="0" w:color="000000"/>
              <w:left w:val="single" w:sz="4" w:space="0" w:color="000000"/>
              <w:bottom w:val="single" w:sz="4" w:space="0" w:color="000000"/>
              <w:right w:val="single" w:sz="4" w:space="0" w:color="000000"/>
            </w:tcBorders>
          </w:tcPr>
          <w:p w14:paraId="25D21270" w14:textId="77777777" w:rsidR="00BA315E" w:rsidRDefault="00BA315E" w:rsidP="00BA315E">
            <w:pPr>
              <w:spacing w:after="0" w:line="259" w:lineRule="auto"/>
              <w:ind w:left="0" w:right="0" w:firstLine="0"/>
              <w:jc w:val="left"/>
            </w:pPr>
          </w:p>
          <w:p w14:paraId="27E96F49" w14:textId="0A0A002B" w:rsidR="00AC61BA" w:rsidRDefault="00AC61BA" w:rsidP="00BA315E">
            <w:pPr>
              <w:spacing w:afterLines="80" w:after="192" w:line="220" w:lineRule="exact"/>
              <w:ind w:left="4" w:right="0" w:firstLine="0"/>
              <w:jc w:val="left"/>
              <w:rPr>
                <w:sz w:val="20"/>
              </w:rPr>
            </w:pPr>
            <w:r>
              <w:rPr>
                <w:sz w:val="20"/>
              </w:rPr>
              <w:t>Where there is a gifted deposit, ask the donor to complete a standard Donor Confirmation of Gift which can be sent to the lender upon receipt of mortgage instructions.</w:t>
            </w:r>
          </w:p>
        </w:tc>
      </w:tr>
      <w:tr w:rsidR="000D3805" w14:paraId="15CEB461" w14:textId="77777777" w:rsidTr="0065688B">
        <w:tblPrEx>
          <w:tblCellMar>
            <w:top w:w="6" w:type="dxa"/>
            <w:left w:w="107" w:type="dxa"/>
            <w:right w:w="63" w:type="dxa"/>
          </w:tblCellMar>
        </w:tblPrEx>
        <w:trPr>
          <w:gridBefore w:val="1"/>
          <w:wBefore w:w="12" w:type="dxa"/>
          <w:trHeight w:val="545"/>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EAD5EF"/>
          </w:tcPr>
          <w:p w14:paraId="3C38BF30" w14:textId="77777777" w:rsidR="000360F1" w:rsidRDefault="00B512BB" w:rsidP="007F35DF">
            <w:pPr>
              <w:spacing w:after="0" w:line="259" w:lineRule="auto"/>
              <w:ind w:left="0" w:right="0" w:firstLine="0"/>
              <w:jc w:val="left"/>
            </w:pPr>
            <w:r>
              <w:rPr>
                <w:b/>
                <w:sz w:val="20"/>
              </w:rPr>
              <w:t xml:space="preserve"> </w:t>
            </w:r>
          </w:p>
          <w:p w14:paraId="680B6A01" w14:textId="5138DD12" w:rsidR="000360F1" w:rsidRDefault="00B512BB" w:rsidP="007F35DF">
            <w:pPr>
              <w:spacing w:after="0" w:line="259" w:lineRule="auto"/>
              <w:ind w:left="0" w:right="0" w:firstLine="0"/>
              <w:jc w:val="left"/>
            </w:pPr>
            <w:r>
              <w:rPr>
                <w:b/>
                <w:sz w:val="20"/>
              </w:rPr>
              <w:t>1.</w:t>
            </w:r>
            <w:r w:rsidR="00CC7A30">
              <w:rPr>
                <w:b/>
                <w:sz w:val="20"/>
              </w:rPr>
              <w:t>6</w:t>
            </w:r>
            <w:r>
              <w:rPr>
                <w:b/>
                <w:sz w:val="20"/>
              </w:rPr>
              <w:t xml:space="preserve"> Delays in the transaction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EE92D7" w14:textId="77777777" w:rsidR="000360F1" w:rsidRDefault="00B512BB" w:rsidP="007F35DF">
            <w:pPr>
              <w:spacing w:after="0" w:line="259" w:lineRule="auto"/>
              <w:ind w:left="0" w:right="0" w:firstLine="0"/>
              <w:jc w:val="left"/>
            </w:pPr>
            <w:r>
              <w:rPr>
                <w:sz w:val="20"/>
              </w:rPr>
              <w:t xml:space="preserve"> </w:t>
            </w:r>
          </w:p>
          <w:p w14:paraId="1383F9DB" w14:textId="77777777" w:rsidR="000360F1" w:rsidRDefault="00B512BB" w:rsidP="007F35DF">
            <w:pPr>
              <w:spacing w:after="0" w:line="259" w:lineRule="auto"/>
              <w:ind w:left="0" w:right="0" w:firstLine="0"/>
              <w:jc w:val="left"/>
            </w:pPr>
            <w:r>
              <w:rPr>
                <w:sz w:val="20"/>
              </w:rPr>
              <w:t xml:space="preserve">Collecting Deposits </w:t>
            </w:r>
          </w:p>
        </w:tc>
        <w:tc>
          <w:tcPr>
            <w:tcW w:w="4905" w:type="dxa"/>
            <w:tcBorders>
              <w:top w:val="single" w:sz="4" w:space="0" w:color="000000"/>
              <w:left w:val="single" w:sz="4" w:space="0" w:color="000000"/>
              <w:bottom w:val="single" w:sz="4" w:space="0" w:color="000000"/>
              <w:right w:val="single" w:sz="4" w:space="0" w:color="000000"/>
            </w:tcBorders>
          </w:tcPr>
          <w:p w14:paraId="53558118" w14:textId="77777777" w:rsidR="001E1360" w:rsidRDefault="001E1360" w:rsidP="007F35DF">
            <w:pPr>
              <w:spacing w:after="0" w:line="259" w:lineRule="auto"/>
              <w:ind w:left="0" w:right="0" w:firstLine="0"/>
              <w:jc w:val="left"/>
            </w:pPr>
          </w:p>
          <w:p w14:paraId="716A4B11" w14:textId="0BDE8773" w:rsidR="000360F1" w:rsidRDefault="00B512BB" w:rsidP="00122A9E">
            <w:pPr>
              <w:spacing w:afterLines="80" w:after="192" w:line="220" w:lineRule="exact"/>
              <w:ind w:left="4" w:right="0" w:firstLine="0"/>
              <w:jc w:val="left"/>
            </w:pPr>
            <w:r>
              <w:rPr>
                <w:sz w:val="20"/>
              </w:rPr>
              <w:t>Request the deposit monies at the earliest appropriate opportunity</w:t>
            </w:r>
            <w:r w:rsidR="0050374A">
              <w:rPr>
                <w:sz w:val="20"/>
              </w:rPr>
              <w:t xml:space="preserve"> once anti</w:t>
            </w:r>
            <w:r w:rsidR="00BA315E">
              <w:rPr>
                <w:sz w:val="20"/>
              </w:rPr>
              <w:t>-</w:t>
            </w:r>
            <w:r w:rsidR="0050374A">
              <w:rPr>
                <w:sz w:val="20"/>
              </w:rPr>
              <w:t>money laundering checks have been completed</w:t>
            </w:r>
            <w:r>
              <w:rPr>
                <w:sz w:val="20"/>
              </w:rPr>
              <w:t xml:space="preserve">. </w:t>
            </w:r>
            <w:r w:rsidR="00F21D63">
              <w:rPr>
                <w:sz w:val="20"/>
              </w:rPr>
              <w:t>Additionally,</w:t>
            </w:r>
            <w:r w:rsidR="002F3F8F">
              <w:rPr>
                <w:sz w:val="20"/>
              </w:rPr>
              <w:t xml:space="preserve"> this can reduce the risk of misdirection of deposit monies by fraudsters</w:t>
            </w:r>
            <w:r w:rsidR="00E60FD7">
              <w:rPr>
                <w:sz w:val="20"/>
              </w:rPr>
              <w:t xml:space="preserve"> and ensure the client is aware of any limitations on the amount which their bank will allow them to send at any one time.</w:t>
            </w:r>
          </w:p>
        </w:tc>
      </w:tr>
      <w:tr w:rsidR="000D3805" w14:paraId="361EAC25" w14:textId="77777777" w:rsidTr="0065688B">
        <w:tblPrEx>
          <w:tblCellMar>
            <w:top w:w="6" w:type="dxa"/>
            <w:left w:w="107" w:type="dxa"/>
            <w:right w:w="63" w:type="dxa"/>
          </w:tblCellMar>
        </w:tblPrEx>
        <w:trPr>
          <w:gridBefore w:val="1"/>
          <w:wBefore w:w="12" w:type="dxa"/>
          <w:trHeight w:val="2311"/>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EAD5EF"/>
          </w:tcPr>
          <w:p w14:paraId="35EAA19D" w14:textId="77777777" w:rsidR="000360F1" w:rsidRDefault="00B512BB" w:rsidP="007F35DF">
            <w:pPr>
              <w:spacing w:after="0" w:line="259" w:lineRule="auto"/>
              <w:ind w:left="0" w:right="0" w:firstLine="0"/>
              <w:jc w:val="left"/>
            </w:pPr>
            <w:r>
              <w:rPr>
                <w:b/>
                <w:sz w:val="20"/>
              </w:rPr>
              <w:t xml:space="preserve"> </w:t>
            </w:r>
          </w:p>
          <w:p w14:paraId="0546DC9B" w14:textId="0D85D7C7" w:rsidR="000360F1" w:rsidRDefault="00B512BB" w:rsidP="007F35DF">
            <w:pPr>
              <w:spacing w:after="0" w:line="259" w:lineRule="auto"/>
              <w:ind w:left="0" w:right="0" w:firstLine="0"/>
              <w:jc w:val="left"/>
            </w:pPr>
            <w:r>
              <w:rPr>
                <w:b/>
                <w:sz w:val="20"/>
              </w:rPr>
              <w:t>1.</w:t>
            </w:r>
            <w:r w:rsidR="00CC7A30">
              <w:rPr>
                <w:b/>
                <w:sz w:val="20"/>
              </w:rPr>
              <w:t>7</w:t>
            </w:r>
            <w:r>
              <w:rPr>
                <w:b/>
                <w:sz w:val="20"/>
              </w:rPr>
              <w:t xml:space="preserve"> Delays in the transaction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89CE40" w14:textId="77777777" w:rsidR="000360F1" w:rsidRDefault="00B512BB" w:rsidP="007F35DF">
            <w:pPr>
              <w:spacing w:after="0" w:line="259" w:lineRule="auto"/>
              <w:ind w:left="0" w:right="0" w:firstLine="0"/>
              <w:jc w:val="left"/>
            </w:pPr>
            <w:r>
              <w:rPr>
                <w:sz w:val="20"/>
              </w:rPr>
              <w:t xml:space="preserve"> </w:t>
            </w:r>
          </w:p>
          <w:p w14:paraId="63BA199B" w14:textId="77777777" w:rsidR="000360F1" w:rsidRDefault="00B512BB" w:rsidP="007F35DF">
            <w:pPr>
              <w:spacing w:after="0" w:line="259" w:lineRule="auto"/>
              <w:ind w:left="0" w:right="0" w:firstLine="0"/>
              <w:jc w:val="left"/>
            </w:pPr>
            <w:r>
              <w:rPr>
                <w:sz w:val="20"/>
              </w:rPr>
              <w:t xml:space="preserve">Defects in Title </w:t>
            </w:r>
          </w:p>
        </w:tc>
        <w:tc>
          <w:tcPr>
            <w:tcW w:w="4905" w:type="dxa"/>
            <w:tcBorders>
              <w:top w:val="single" w:sz="4" w:space="0" w:color="000000"/>
              <w:left w:val="single" w:sz="4" w:space="0" w:color="000000"/>
              <w:bottom w:val="single" w:sz="4" w:space="0" w:color="000000"/>
              <w:right w:val="single" w:sz="4" w:space="0" w:color="000000"/>
            </w:tcBorders>
          </w:tcPr>
          <w:p w14:paraId="5DD1DEF9" w14:textId="77777777" w:rsidR="007A1699" w:rsidRDefault="007A1699" w:rsidP="007F35DF">
            <w:pPr>
              <w:spacing w:after="0" w:line="259" w:lineRule="auto"/>
              <w:ind w:left="0" w:right="0" w:firstLine="0"/>
              <w:jc w:val="left"/>
            </w:pPr>
          </w:p>
          <w:p w14:paraId="2DC6454D" w14:textId="392FB42B" w:rsidR="000360F1" w:rsidRDefault="00B512BB" w:rsidP="00122A9E">
            <w:pPr>
              <w:spacing w:afterLines="80" w:after="192" w:line="220" w:lineRule="exact"/>
              <w:ind w:left="4" w:right="0" w:firstLine="0"/>
              <w:jc w:val="left"/>
            </w:pPr>
            <w:r>
              <w:rPr>
                <w:sz w:val="20"/>
              </w:rPr>
              <w:t xml:space="preserve">Significant delay is caused in debating the responsibility for perfecting defects in </w:t>
            </w:r>
            <w:r w:rsidR="00BA315E">
              <w:rPr>
                <w:sz w:val="20"/>
              </w:rPr>
              <w:t>T</w:t>
            </w:r>
            <w:r>
              <w:rPr>
                <w:sz w:val="20"/>
              </w:rPr>
              <w:t xml:space="preserve">itle. </w:t>
            </w:r>
          </w:p>
          <w:p w14:paraId="57BAD8DE" w14:textId="5213F10A" w:rsidR="000360F1" w:rsidRDefault="00B512BB" w:rsidP="00122A9E">
            <w:pPr>
              <w:spacing w:afterLines="80" w:after="192" w:line="220" w:lineRule="exact"/>
              <w:ind w:left="4" w:right="0" w:firstLine="0"/>
              <w:jc w:val="left"/>
            </w:pPr>
            <w:r>
              <w:rPr>
                <w:sz w:val="20"/>
              </w:rPr>
              <w:t xml:space="preserve">This can be avoided where it is assumed the seller is responsible for their title and would not expect to receive full market value for a genuine defective </w:t>
            </w:r>
            <w:r w:rsidR="00BA315E">
              <w:rPr>
                <w:sz w:val="20"/>
              </w:rPr>
              <w:t>T</w:t>
            </w:r>
            <w:r>
              <w:rPr>
                <w:sz w:val="20"/>
              </w:rPr>
              <w:t>itle. Any other ‘potential’ defects are a matter for negotiation between the parties.</w:t>
            </w:r>
          </w:p>
        </w:tc>
      </w:tr>
      <w:tr w:rsidR="000D3805" w14:paraId="1F63C00D" w14:textId="77777777" w:rsidTr="0065688B">
        <w:tblPrEx>
          <w:tblCellMar>
            <w:top w:w="6" w:type="dxa"/>
            <w:left w:w="107" w:type="dxa"/>
            <w:right w:w="63" w:type="dxa"/>
          </w:tblCellMar>
        </w:tblPrEx>
        <w:trPr>
          <w:gridBefore w:val="1"/>
          <w:wBefore w:w="12" w:type="dxa"/>
          <w:trHeight w:val="693"/>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EAD5EF"/>
          </w:tcPr>
          <w:p w14:paraId="51BEC5B5" w14:textId="77777777" w:rsidR="000360F1" w:rsidRDefault="00B512BB" w:rsidP="007F35DF">
            <w:pPr>
              <w:spacing w:after="0" w:line="259" w:lineRule="auto"/>
              <w:ind w:left="0" w:right="0" w:firstLine="0"/>
              <w:jc w:val="left"/>
            </w:pPr>
            <w:r>
              <w:rPr>
                <w:b/>
                <w:sz w:val="20"/>
              </w:rPr>
              <w:t xml:space="preserve"> </w:t>
            </w:r>
          </w:p>
          <w:p w14:paraId="1EB3886C" w14:textId="62B3B7C5" w:rsidR="000360F1" w:rsidRDefault="00B512BB" w:rsidP="007F35DF">
            <w:pPr>
              <w:spacing w:after="0" w:line="259" w:lineRule="auto"/>
              <w:ind w:left="0" w:right="0" w:firstLine="0"/>
              <w:jc w:val="left"/>
            </w:pPr>
            <w:r>
              <w:rPr>
                <w:b/>
                <w:sz w:val="20"/>
              </w:rPr>
              <w:t>1.</w:t>
            </w:r>
            <w:r w:rsidR="00CC7A30">
              <w:rPr>
                <w:b/>
                <w:sz w:val="20"/>
              </w:rPr>
              <w:t>8</w:t>
            </w:r>
            <w:r>
              <w:rPr>
                <w:b/>
                <w:sz w:val="20"/>
              </w:rPr>
              <w:t xml:space="preserve"> Delays in the transaction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855EA4" w14:textId="77777777" w:rsidR="000360F1" w:rsidRDefault="00B512BB" w:rsidP="007F35DF">
            <w:pPr>
              <w:spacing w:after="0" w:line="259" w:lineRule="auto"/>
              <w:ind w:left="0" w:right="0" w:firstLine="0"/>
              <w:jc w:val="left"/>
            </w:pPr>
            <w:r>
              <w:rPr>
                <w:sz w:val="20"/>
              </w:rPr>
              <w:t xml:space="preserve"> </w:t>
            </w:r>
          </w:p>
          <w:p w14:paraId="5F8C9763" w14:textId="77777777" w:rsidR="000360F1" w:rsidRDefault="00B512BB" w:rsidP="007F35DF">
            <w:pPr>
              <w:spacing w:after="0" w:line="259" w:lineRule="auto"/>
              <w:ind w:left="0" w:right="0" w:firstLine="0"/>
              <w:jc w:val="left"/>
            </w:pPr>
            <w:r>
              <w:rPr>
                <w:sz w:val="20"/>
              </w:rPr>
              <w:t xml:space="preserve">Pre-Sale Preparation </w:t>
            </w:r>
          </w:p>
          <w:p w14:paraId="2F989AB1" w14:textId="77777777" w:rsidR="000360F1" w:rsidRDefault="00B512BB" w:rsidP="007F35DF">
            <w:pPr>
              <w:spacing w:after="0" w:line="259" w:lineRule="auto"/>
              <w:ind w:left="0" w:right="0" w:firstLine="0"/>
              <w:jc w:val="left"/>
            </w:pPr>
            <w:r>
              <w:rPr>
                <w:sz w:val="20"/>
              </w:rPr>
              <w:t xml:space="preserve"> </w:t>
            </w:r>
          </w:p>
        </w:tc>
        <w:tc>
          <w:tcPr>
            <w:tcW w:w="4905" w:type="dxa"/>
            <w:tcBorders>
              <w:top w:val="single" w:sz="4" w:space="0" w:color="000000"/>
              <w:left w:val="single" w:sz="4" w:space="0" w:color="000000"/>
              <w:bottom w:val="single" w:sz="4" w:space="0" w:color="000000"/>
              <w:right w:val="single" w:sz="4" w:space="0" w:color="000000"/>
            </w:tcBorders>
          </w:tcPr>
          <w:p w14:paraId="14EEC0D4" w14:textId="77777777" w:rsidR="001E1360" w:rsidRPr="00122A9E" w:rsidRDefault="001E1360" w:rsidP="007F35DF">
            <w:pPr>
              <w:spacing w:after="0" w:line="259" w:lineRule="auto"/>
              <w:ind w:left="0" w:right="0" w:firstLine="0"/>
              <w:jc w:val="left"/>
              <w:rPr>
                <w:sz w:val="20"/>
                <w:szCs w:val="20"/>
              </w:rPr>
            </w:pPr>
          </w:p>
          <w:p w14:paraId="3B154F70" w14:textId="0DB765A7" w:rsidR="000360F1" w:rsidRPr="00122A9E" w:rsidRDefault="00B512BB" w:rsidP="00122A9E">
            <w:pPr>
              <w:spacing w:afterLines="80" w:after="192" w:line="220" w:lineRule="exact"/>
              <w:ind w:left="4" w:right="0" w:firstLine="0"/>
              <w:jc w:val="left"/>
              <w:rPr>
                <w:sz w:val="20"/>
                <w:szCs w:val="20"/>
              </w:rPr>
            </w:pPr>
            <w:r w:rsidRPr="005D3E8B">
              <w:rPr>
                <w:sz w:val="20"/>
                <w:szCs w:val="20"/>
              </w:rPr>
              <w:t>If the commercial decision of the Law Firm is to prepare pre-sale packs, the following should be included.</w:t>
            </w:r>
          </w:p>
          <w:p w14:paraId="15DCA632" w14:textId="6212F694" w:rsidR="00E60FD7" w:rsidRPr="005D3E8B" w:rsidRDefault="00E60FD7" w:rsidP="00122A9E">
            <w:pPr>
              <w:numPr>
                <w:ilvl w:val="0"/>
                <w:numId w:val="1"/>
              </w:numPr>
              <w:spacing w:after="80" w:line="220" w:lineRule="exact"/>
              <w:ind w:left="363" w:right="0" w:hanging="357"/>
              <w:jc w:val="left"/>
              <w:rPr>
                <w:sz w:val="20"/>
                <w:szCs w:val="20"/>
              </w:rPr>
            </w:pPr>
            <w:r w:rsidRPr="005D3E8B">
              <w:rPr>
                <w:sz w:val="20"/>
                <w:szCs w:val="20"/>
              </w:rPr>
              <w:t>Title Information Document</w:t>
            </w:r>
            <w:r w:rsidR="00BA315E">
              <w:rPr>
                <w:sz w:val="20"/>
                <w:szCs w:val="20"/>
              </w:rPr>
              <w:t>.</w:t>
            </w:r>
          </w:p>
          <w:p w14:paraId="69A8DD1A" w14:textId="0C8A85D4" w:rsidR="000360F1" w:rsidRPr="00122A9E" w:rsidRDefault="00E60FD7" w:rsidP="00122A9E">
            <w:pPr>
              <w:numPr>
                <w:ilvl w:val="0"/>
                <w:numId w:val="1"/>
              </w:numPr>
              <w:spacing w:after="80" w:line="220" w:lineRule="exact"/>
              <w:ind w:left="363" w:right="0" w:hanging="357"/>
              <w:jc w:val="left"/>
              <w:rPr>
                <w:sz w:val="20"/>
                <w:szCs w:val="20"/>
              </w:rPr>
            </w:pPr>
            <w:r w:rsidRPr="005D3E8B">
              <w:rPr>
                <w:sz w:val="20"/>
                <w:szCs w:val="20"/>
              </w:rPr>
              <w:t xml:space="preserve">Documents referred to therein </w:t>
            </w:r>
            <w:r w:rsidR="00E16D3A" w:rsidRPr="005D3E8B">
              <w:rPr>
                <w:sz w:val="20"/>
                <w:szCs w:val="20"/>
              </w:rPr>
              <w:t>e.g.</w:t>
            </w:r>
            <w:r w:rsidRPr="005D3E8B">
              <w:rPr>
                <w:sz w:val="20"/>
                <w:szCs w:val="20"/>
              </w:rPr>
              <w:t xml:space="preserve"> Transfers, conveyances and leases referred to as containing rights, reservations, covenants etc</w:t>
            </w:r>
            <w:r w:rsidR="00BA315E">
              <w:rPr>
                <w:sz w:val="20"/>
                <w:szCs w:val="20"/>
              </w:rPr>
              <w:t>.</w:t>
            </w:r>
            <w:r w:rsidRPr="005D3E8B" w:rsidDel="00E60FD7">
              <w:rPr>
                <w:sz w:val="20"/>
                <w:szCs w:val="20"/>
              </w:rPr>
              <w:t xml:space="preserve"> </w:t>
            </w:r>
            <w:r w:rsidR="00B512BB" w:rsidRPr="005D3E8B">
              <w:rPr>
                <w:sz w:val="20"/>
                <w:szCs w:val="20"/>
                <w:vertAlign w:val="superscript"/>
              </w:rPr>
              <w:footnoteReference w:id="9"/>
            </w:r>
            <w:r w:rsidR="00B512BB" w:rsidRPr="005D3E8B">
              <w:rPr>
                <w:sz w:val="20"/>
                <w:szCs w:val="20"/>
              </w:rPr>
              <w:t xml:space="preserve"> </w:t>
            </w:r>
          </w:p>
          <w:p w14:paraId="0E3725E2" w14:textId="6B6C9F8E" w:rsidR="000360F1" w:rsidRPr="00122A9E" w:rsidRDefault="00B512BB" w:rsidP="00122A9E">
            <w:pPr>
              <w:numPr>
                <w:ilvl w:val="0"/>
                <w:numId w:val="1"/>
              </w:numPr>
              <w:spacing w:after="80" w:line="220" w:lineRule="exact"/>
              <w:ind w:left="363" w:right="0" w:hanging="357"/>
              <w:jc w:val="left"/>
              <w:rPr>
                <w:sz w:val="20"/>
                <w:szCs w:val="20"/>
              </w:rPr>
            </w:pPr>
            <w:r w:rsidRPr="005D3E8B">
              <w:rPr>
                <w:sz w:val="20"/>
                <w:szCs w:val="20"/>
              </w:rPr>
              <w:t>Title Plan</w:t>
            </w:r>
            <w:r w:rsidR="00BA315E">
              <w:rPr>
                <w:sz w:val="20"/>
                <w:szCs w:val="20"/>
              </w:rPr>
              <w:t>.</w:t>
            </w:r>
          </w:p>
          <w:p w14:paraId="74B5171B" w14:textId="413206D1" w:rsidR="000360F1" w:rsidRPr="005D3E8B" w:rsidRDefault="00E60FD7" w:rsidP="007F35DF">
            <w:pPr>
              <w:numPr>
                <w:ilvl w:val="0"/>
                <w:numId w:val="1"/>
              </w:numPr>
              <w:spacing w:after="80" w:line="220" w:lineRule="exact"/>
              <w:ind w:left="363" w:right="0" w:hanging="357"/>
              <w:jc w:val="left"/>
              <w:rPr>
                <w:sz w:val="20"/>
                <w:szCs w:val="20"/>
              </w:rPr>
            </w:pPr>
            <w:r w:rsidRPr="005D3E8B">
              <w:rPr>
                <w:sz w:val="20"/>
                <w:szCs w:val="20"/>
              </w:rPr>
              <w:t xml:space="preserve">Buying and Selling Property Information </w:t>
            </w:r>
            <w:r w:rsidR="00295F8D" w:rsidRPr="005D3E8B">
              <w:rPr>
                <w:sz w:val="20"/>
                <w:szCs w:val="20"/>
              </w:rPr>
              <w:t>including the Material</w:t>
            </w:r>
            <w:r w:rsidRPr="005D3E8B">
              <w:rPr>
                <w:sz w:val="20"/>
                <w:szCs w:val="20"/>
              </w:rPr>
              <w:t xml:space="preserve"> Information</w:t>
            </w:r>
            <w:r w:rsidR="00295F8D" w:rsidRPr="005D3E8B">
              <w:rPr>
                <w:sz w:val="20"/>
                <w:szCs w:val="20"/>
              </w:rPr>
              <w:t xml:space="preserve"> for CPRs</w:t>
            </w:r>
            <w:r w:rsidR="00BA315E">
              <w:rPr>
                <w:sz w:val="20"/>
                <w:szCs w:val="20"/>
              </w:rPr>
              <w:t>.</w:t>
            </w:r>
            <w:r w:rsidR="00295F8D" w:rsidRPr="005D3E8B">
              <w:rPr>
                <w:rStyle w:val="FootnoteReference"/>
                <w:sz w:val="20"/>
                <w:szCs w:val="20"/>
              </w:rPr>
              <w:footnoteReference w:id="10"/>
            </w:r>
          </w:p>
          <w:p w14:paraId="62445600" w14:textId="77777777" w:rsidR="000360F1" w:rsidRPr="00122A9E" w:rsidRDefault="00B512BB" w:rsidP="00122A9E">
            <w:pPr>
              <w:numPr>
                <w:ilvl w:val="0"/>
                <w:numId w:val="1"/>
              </w:numPr>
              <w:spacing w:after="80" w:line="220" w:lineRule="exact"/>
              <w:ind w:left="363" w:right="0" w:hanging="357"/>
              <w:jc w:val="left"/>
              <w:rPr>
                <w:sz w:val="20"/>
                <w:szCs w:val="20"/>
              </w:rPr>
            </w:pPr>
            <w:r w:rsidRPr="005D3E8B">
              <w:rPr>
                <w:sz w:val="20"/>
                <w:szCs w:val="20"/>
              </w:rPr>
              <w:t xml:space="preserve">Establishing cost and location of Landlord/Management company information. </w:t>
            </w:r>
          </w:p>
          <w:p w14:paraId="7A581DFB" w14:textId="373C600F" w:rsidR="000360F1" w:rsidRPr="005D3E8B" w:rsidRDefault="00B512BB" w:rsidP="00122A9E">
            <w:pPr>
              <w:numPr>
                <w:ilvl w:val="0"/>
                <w:numId w:val="1"/>
              </w:numPr>
              <w:spacing w:after="80" w:line="220" w:lineRule="exact"/>
              <w:ind w:left="363" w:right="0" w:hanging="357"/>
              <w:jc w:val="left"/>
              <w:rPr>
                <w:sz w:val="20"/>
                <w:szCs w:val="20"/>
              </w:rPr>
            </w:pPr>
            <w:r w:rsidRPr="005D3E8B">
              <w:rPr>
                <w:sz w:val="20"/>
                <w:szCs w:val="20"/>
              </w:rPr>
              <w:t>All documents held by the client</w:t>
            </w:r>
            <w:r w:rsidR="00BA315E">
              <w:rPr>
                <w:sz w:val="20"/>
                <w:szCs w:val="20"/>
              </w:rPr>
              <w:t>.</w:t>
            </w:r>
            <w:r w:rsidRPr="005D3E8B">
              <w:rPr>
                <w:sz w:val="20"/>
                <w:szCs w:val="20"/>
              </w:rPr>
              <w:t xml:space="preserve"> </w:t>
            </w:r>
          </w:p>
          <w:p w14:paraId="4A8866CA" w14:textId="223DFB04" w:rsidR="00E60FD7" w:rsidRPr="00122A9E" w:rsidRDefault="00E60FD7" w:rsidP="00122A9E">
            <w:pPr>
              <w:numPr>
                <w:ilvl w:val="0"/>
                <w:numId w:val="1"/>
              </w:numPr>
              <w:spacing w:after="80" w:line="220" w:lineRule="exact"/>
              <w:ind w:left="363" w:right="0" w:hanging="357"/>
              <w:jc w:val="left"/>
              <w:rPr>
                <w:sz w:val="20"/>
                <w:szCs w:val="20"/>
              </w:rPr>
            </w:pPr>
            <w:r w:rsidRPr="00122A9E">
              <w:rPr>
                <w:sz w:val="20"/>
                <w:szCs w:val="20"/>
              </w:rPr>
              <w:t xml:space="preserve">Local Authority </w:t>
            </w:r>
            <w:r w:rsidR="00084C87" w:rsidRPr="00122A9E">
              <w:rPr>
                <w:sz w:val="20"/>
                <w:szCs w:val="20"/>
              </w:rPr>
              <w:t>s</w:t>
            </w:r>
            <w:r w:rsidRPr="00122A9E">
              <w:rPr>
                <w:sz w:val="20"/>
                <w:szCs w:val="20"/>
              </w:rPr>
              <w:t>earch</w:t>
            </w:r>
            <w:r w:rsidR="00BA315E">
              <w:rPr>
                <w:sz w:val="20"/>
                <w:szCs w:val="20"/>
              </w:rPr>
              <w:t>.</w:t>
            </w:r>
          </w:p>
          <w:p w14:paraId="26FB36A4" w14:textId="3ED37A95" w:rsidR="00E60FD7" w:rsidRPr="00122A9E" w:rsidRDefault="00E60FD7" w:rsidP="00122A9E">
            <w:pPr>
              <w:numPr>
                <w:ilvl w:val="0"/>
                <w:numId w:val="1"/>
              </w:numPr>
              <w:spacing w:after="80" w:line="220" w:lineRule="exact"/>
              <w:ind w:left="363" w:right="0" w:hanging="357"/>
              <w:jc w:val="left"/>
              <w:rPr>
                <w:sz w:val="20"/>
                <w:szCs w:val="20"/>
              </w:rPr>
            </w:pPr>
            <w:r w:rsidRPr="00122A9E">
              <w:rPr>
                <w:sz w:val="20"/>
                <w:szCs w:val="20"/>
              </w:rPr>
              <w:t xml:space="preserve">Drainage &amp; water </w:t>
            </w:r>
            <w:r w:rsidR="00084C87" w:rsidRPr="00122A9E">
              <w:rPr>
                <w:sz w:val="20"/>
                <w:szCs w:val="20"/>
              </w:rPr>
              <w:t>s</w:t>
            </w:r>
            <w:r w:rsidRPr="00122A9E">
              <w:rPr>
                <w:sz w:val="20"/>
                <w:szCs w:val="20"/>
              </w:rPr>
              <w:t>earch</w:t>
            </w:r>
            <w:r w:rsidR="00BA315E">
              <w:rPr>
                <w:sz w:val="20"/>
                <w:szCs w:val="20"/>
              </w:rPr>
              <w:t>.</w:t>
            </w:r>
          </w:p>
          <w:p w14:paraId="3BC3FF69" w14:textId="52126D76" w:rsidR="002F3F8F" w:rsidRPr="00122A9E" w:rsidRDefault="00E60FD7" w:rsidP="00122A9E">
            <w:pPr>
              <w:numPr>
                <w:ilvl w:val="0"/>
                <w:numId w:val="1"/>
              </w:numPr>
              <w:spacing w:after="80" w:line="220" w:lineRule="exact"/>
              <w:ind w:left="363" w:right="0" w:hanging="357"/>
              <w:jc w:val="left"/>
              <w:rPr>
                <w:sz w:val="20"/>
                <w:szCs w:val="20"/>
              </w:rPr>
            </w:pPr>
            <w:r w:rsidRPr="00122A9E">
              <w:rPr>
                <w:sz w:val="20"/>
                <w:szCs w:val="20"/>
              </w:rPr>
              <w:t>Environmental and locality dependant searches</w:t>
            </w:r>
            <w:r w:rsidR="00BA315E">
              <w:rPr>
                <w:sz w:val="20"/>
                <w:szCs w:val="20"/>
              </w:rPr>
              <w:t>.</w:t>
            </w:r>
          </w:p>
          <w:p w14:paraId="6A43B25D" w14:textId="77777777" w:rsidR="002F3F8F" w:rsidRPr="00122A9E" w:rsidRDefault="002F3F8F" w:rsidP="00122A9E">
            <w:pPr>
              <w:numPr>
                <w:ilvl w:val="0"/>
                <w:numId w:val="1"/>
              </w:numPr>
              <w:spacing w:after="80" w:line="220" w:lineRule="exact"/>
              <w:ind w:left="363" w:right="0" w:hanging="357"/>
              <w:jc w:val="left"/>
              <w:rPr>
                <w:sz w:val="20"/>
                <w:szCs w:val="20"/>
              </w:rPr>
            </w:pPr>
            <w:r w:rsidRPr="005D3E8B">
              <w:rPr>
                <w:sz w:val="20"/>
                <w:szCs w:val="20"/>
              </w:rPr>
              <w:t>Required permissions and consents which exist for alterations and obtain copies</w:t>
            </w:r>
            <w:r w:rsidRPr="005D3E8B">
              <w:rPr>
                <w:sz w:val="20"/>
                <w:szCs w:val="20"/>
                <w:vertAlign w:val="superscript"/>
              </w:rPr>
              <w:footnoteReference w:id="11"/>
            </w:r>
          </w:p>
          <w:p w14:paraId="3C141139" w14:textId="2681931D" w:rsidR="002F3F8F" w:rsidRPr="005D3E8B" w:rsidRDefault="002F3F8F" w:rsidP="00122A9E">
            <w:pPr>
              <w:spacing w:afterLines="80" w:after="192" w:line="220" w:lineRule="exact"/>
              <w:ind w:right="0"/>
              <w:jc w:val="left"/>
              <w:rPr>
                <w:sz w:val="20"/>
                <w:szCs w:val="20"/>
              </w:rPr>
            </w:pPr>
            <w:r w:rsidRPr="005D3E8B">
              <w:rPr>
                <w:sz w:val="20"/>
                <w:szCs w:val="20"/>
              </w:rPr>
              <w:t xml:space="preserve">Upon receipt, all documentation should be checked through by the seller’s conveyancer to identify and resolve any potential additional enquiries </w:t>
            </w:r>
            <w:r w:rsidR="007A1699" w:rsidRPr="005D3E8B">
              <w:rPr>
                <w:sz w:val="20"/>
                <w:szCs w:val="20"/>
              </w:rPr>
              <w:t>e.g.</w:t>
            </w:r>
            <w:r w:rsidRPr="005D3E8B">
              <w:rPr>
                <w:sz w:val="20"/>
                <w:szCs w:val="20"/>
              </w:rPr>
              <w:t xml:space="preserve"> where forms are incomplete etc.</w:t>
            </w:r>
          </w:p>
          <w:p w14:paraId="72A42D1E" w14:textId="5AECF399" w:rsidR="00804D52" w:rsidRPr="00122A9E" w:rsidRDefault="00804D52" w:rsidP="00122A9E">
            <w:pPr>
              <w:spacing w:afterLines="80" w:after="192" w:line="220" w:lineRule="exact"/>
              <w:ind w:right="0"/>
              <w:jc w:val="left"/>
              <w:rPr>
                <w:sz w:val="20"/>
                <w:szCs w:val="20"/>
              </w:rPr>
            </w:pPr>
            <w:r w:rsidRPr="005D3E8B">
              <w:rPr>
                <w:sz w:val="20"/>
                <w:szCs w:val="20"/>
              </w:rPr>
              <w:t xml:space="preserve">At the commercial decision of the conveyancer and instructions of the client identify </w:t>
            </w:r>
            <w:r w:rsidR="00BA315E">
              <w:rPr>
                <w:sz w:val="20"/>
                <w:szCs w:val="20"/>
              </w:rPr>
              <w:t>T</w:t>
            </w:r>
            <w:r w:rsidRPr="005D3E8B">
              <w:rPr>
                <w:sz w:val="20"/>
                <w:szCs w:val="20"/>
              </w:rPr>
              <w:t>itle issues and make recommendations to the seller as to how these might be solved providing an estimate of the cost to resolve.</w:t>
            </w:r>
            <w:r w:rsidR="004260EF" w:rsidRPr="005D3E8B">
              <w:rPr>
                <w:sz w:val="20"/>
                <w:szCs w:val="20"/>
              </w:rPr>
              <w:t xml:space="preserve"> </w:t>
            </w:r>
            <w:r w:rsidR="004260EF" w:rsidRPr="00122A9E">
              <w:rPr>
                <w:color w:val="000000" w:themeColor="text1"/>
                <w:sz w:val="20"/>
                <w:szCs w:val="20"/>
              </w:rPr>
              <w:t xml:space="preserve">Under Common Law, the </w:t>
            </w:r>
            <w:r w:rsidR="004260EF" w:rsidRPr="00122A9E">
              <w:rPr>
                <w:color w:val="000000" w:themeColor="text1"/>
                <w:sz w:val="20"/>
                <w:szCs w:val="20"/>
                <w:shd w:val="clear" w:color="auto" w:fill="FFFFFF"/>
              </w:rPr>
              <w:t>seller has implied duties to sell a property free from encumbrances (other than those disclosed to a buyer or subject to which the sale is expressly made) and to disclose all latent (i.e. non-obvious) defects in title and encumbrances.</w:t>
            </w:r>
            <w:r w:rsidR="004260EF" w:rsidRPr="005D3E8B">
              <w:rPr>
                <w:rStyle w:val="FootnoteReference"/>
                <w:color w:val="000000" w:themeColor="text1"/>
                <w:sz w:val="20"/>
                <w:szCs w:val="20"/>
                <w:shd w:val="clear" w:color="auto" w:fill="FFFFFF"/>
              </w:rPr>
              <w:footnoteReference w:id="12"/>
            </w:r>
          </w:p>
        </w:tc>
      </w:tr>
      <w:tr w:rsidR="000D3805" w14:paraId="549B8C3B" w14:textId="77777777" w:rsidTr="0065688B">
        <w:tblPrEx>
          <w:tblCellMar>
            <w:top w:w="7" w:type="dxa"/>
            <w:left w:w="107" w:type="dxa"/>
            <w:right w:w="53" w:type="dxa"/>
          </w:tblCellMar>
        </w:tblPrEx>
        <w:trPr>
          <w:gridBefore w:val="1"/>
          <w:wBefore w:w="12" w:type="dxa"/>
          <w:trHeight w:val="261"/>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EAD5EF"/>
          </w:tcPr>
          <w:p w14:paraId="149D6858" w14:textId="77777777" w:rsidR="000360F1" w:rsidRDefault="00B512BB" w:rsidP="007F35DF">
            <w:pPr>
              <w:spacing w:after="0" w:line="259" w:lineRule="auto"/>
              <w:ind w:left="0" w:right="0" w:firstLine="0"/>
              <w:jc w:val="left"/>
            </w:pPr>
            <w:r>
              <w:rPr>
                <w:b/>
                <w:sz w:val="20"/>
              </w:rPr>
              <w:t xml:space="preserve"> </w:t>
            </w:r>
          </w:p>
          <w:p w14:paraId="75B8A1C7" w14:textId="4C7FA4CB" w:rsidR="000360F1" w:rsidRDefault="00B512BB" w:rsidP="007F35DF">
            <w:pPr>
              <w:spacing w:after="0" w:line="259" w:lineRule="auto"/>
              <w:ind w:left="0" w:right="0" w:firstLine="0"/>
              <w:jc w:val="left"/>
            </w:pPr>
            <w:r w:rsidRPr="00122A9E">
              <w:rPr>
                <w:b/>
                <w:sz w:val="20"/>
                <w:shd w:val="clear" w:color="auto" w:fill="EAD5EF"/>
              </w:rPr>
              <w:t>1.</w:t>
            </w:r>
            <w:r w:rsidR="009513DC" w:rsidRPr="00122A9E">
              <w:rPr>
                <w:b/>
                <w:sz w:val="20"/>
                <w:shd w:val="clear" w:color="auto" w:fill="EAD5EF"/>
              </w:rPr>
              <w:t>9</w:t>
            </w:r>
            <w:r w:rsidRPr="00122A9E">
              <w:rPr>
                <w:b/>
                <w:sz w:val="20"/>
                <w:shd w:val="clear" w:color="auto" w:fill="EAD5EF"/>
              </w:rPr>
              <w:t xml:space="preserve"> Delays in the Transaction</w:t>
            </w:r>
            <w:r>
              <w:rPr>
                <w:b/>
                <w:sz w:val="20"/>
              </w:rPr>
              <w:t xml:space="preserve">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2336C5" w14:textId="77777777" w:rsidR="000360F1" w:rsidRDefault="00B512BB" w:rsidP="007F35DF">
            <w:pPr>
              <w:spacing w:after="0" w:line="259" w:lineRule="auto"/>
              <w:ind w:left="0" w:right="0" w:firstLine="0"/>
              <w:jc w:val="left"/>
            </w:pPr>
            <w:r>
              <w:rPr>
                <w:sz w:val="20"/>
              </w:rPr>
              <w:t xml:space="preserve"> </w:t>
            </w:r>
          </w:p>
          <w:p w14:paraId="2CF8F790" w14:textId="77777777" w:rsidR="000360F1" w:rsidRDefault="00B512BB" w:rsidP="007F35DF">
            <w:pPr>
              <w:spacing w:after="0" w:line="259" w:lineRule="auto"/>
              <w:ind w:left="0" w:right="0" w:firstLine="0"/>
              <w:jc w:val="left"/>
            </w:pPr>
            <w:r>
              <w:rPr>
                <w:sz w:val="20"/>
              </w:rPr>
              <w:t xml:space="preserve">Issue of Contract Pack </w:t>
            </w:r>
          </w:p>
        </w:tc>
        <w:tc>
          <w:tcPr>
            <w:tcW w:w="4905" w:type="dxa"/>
            <w:tcBorders>
              <w:top w:val="single" w:sz="4" w:space="0" w:color="000000"/>
              <w:left w:val="single" w:sz="4" w:space="0" w:color="000000"/>
              <w:bottom w:val="single" w:sz="4" w:space="0" w:color="000000"/>
              <w:right w:val="single" w:sz="4" w:space="0" w:color="000000"/>
            </w:tcBorders>
          </w:tcPr>
          <w:p w14:paraId="45A1B7BC" w14:textId="77777777" w:rsidR="001E1360" w:rsidRDefault="001E1360" w:rsidP="007F35DF">
            <w:pPr>
              <w:spacing w:after="0" w:line="259" w:lineRule="auto"/>
              <w:ind w:left="0" w:right="0" w:firstLine="0"/>
              <w:jc w:val="left"/>
            </w:pPr>
          </w:p>
          <w:p w14:paraId="778D080E" w14:textId="4C25650E" w:rsidR="000360F1" w:rsidRDefault="00B512BB" w:rsidP="00122A9E">
            <w:pPr>
              <w:spacing w:afterLines="80" w:after="192" w:line="220" w:lineRule="exact"/>
              <w:ind w:left="4" w:right="0" w:firstLine="0"/>
            </w:pPr>
            <w:r>
              <w:rPr>
                <w:sz w:val="20"/>
              </w:rPr>
              <w:t>At the earliest opportunity</w:t>
            </w:r>
            <w:r w:rsidR="005D4CDD">
              <w:rPr>
                <w:sz w:val="20"/>
              </w:rPr>
              <w:t xml:space="preserve"> </w:t>
            </w:r>
            <w:r>
              <w:rPr>
                <w:sz w:val="20"/>
              </w:rPr>
              <w:t xml:space="preserve">issue a contract pack to the buyer’s </w:t>
            </w:r>
            <w:r w:rsidR="00BA315E">
              <w:rPr>
                <w:sz w:val="20"/>
              </w:rPr>
              <w:t>lawyer</w:t>
            </w:r>
            <w:r w:rsidR="005D4CDD">
              <w:rPr>
                <w:sz w:val="20"/>
              </w:rPr>
              <w:t xml:space="preserve">, </w:t>
            </w:r>
            <w:r>
              <w:rPr>
                <w:sz w:val="20"/>
              </w:rPr>
              <w:t>includ</w:t>
            </w:r>
            <w:r w:rsidR="005D4CDD">
              <w:rPr>
                <w:sz w:val="20"/>
              </w:rPr>
              <w:t>ing</w:t>
            </w:r>
            <w:r>
              <w:rPr>
                <w:sz w:val="20"/>
              </w:rPr>
              <w:t xml:space="preserve"> as a minimum: </w:t>
            </w:r>
          </w:p>
          <w:p w14:paraId="218E69F9" w14:textId="77777777" w:rsidR="000360F1" w:rsidRDefault="00B512BB" w:rsidP="00122A9E">
            <w:pPr>
              <w:numPr>
                <w:ilvl w:val="0"/>
                <w:numId w:val="3"/>
              </w:numPr>
              <w:spacing w:after="80" w:line="220" w:lineRule="exact"/>
              <w:ind w:left="363" w:right="0" w:hanging="360"/>
              <w:jc w:val="left"/>
            </w:pPr>
            <w:r>
              <w:rPr>
                <w:sz w:val="20"/>
              </w:rPr>
              <w:t>The latest edition of the Standard Conditions of Sale, without amendment, save for transaction specific amendments.</w:t>
            </w:r>
            <w:r>
              <w:rPr>
                <w:sz w:val="20"/>
                <w:vertAlign w:val="superscript"/>
              </w:rPr>
              <w:footnoteReference w:id="13"/>
            </w:r>
            <w:r>
              <w:rPr>
                <w:sz w:val="20"/>
              </w:rPr>
              <w:t xml:space="preserve"> </w:t>
            </w:r>
          </w:p>
          <w:p w14:paraId="414D6F02" w14:textId="6331ED71" w:rsidR="000360F1" w:rsidRDefault="005E19AA" w:rsidP="00122A9E">
            <w:pPr>
              <w:numPr>
                <w:ilvl w:val="0"/>
                <w:numId w:val="3"/>
              </w:numPr>
              <w:spacing w:after="80" w:line="220" w:lineRule="exact"/>
              <w:ind w:left="363" w:right="0" w:hanging="360"/>
              <w:jc w:val="left"/>
            </w:pPr>
            <w:r>
              <w:rPr>
                <w:sz w:val="20"/>
              </w:rPr>
              <w:t>Title Information Document</w:t>
            </w:r>
            <w:r w:rsidR="00B512BB">
              <w:rPr>
                <w:sz w:val="20"/>
              </w:rPr>
              <w:t xml:space="preserve"> and </w:t>
            </w:r>
            <w:r>
              <w:rPr>
                <w:sz w:val="20"/>
              </w:rPr>
              <w:t xml:space="preserve">Title </w:t>
            </w:r>
            <w:r w:rsidR="00B512BB">
              <w:rPr>
                <w:sz w:val="20"/>
              </w:rPr>
              <w:t xml:space="preserve">Plan. </w:t>
            </w:r>
          </w:p>
          <w:p w14:paraId="21DF9D49" w14:textId="25B1CCD7" w:rsidR="000360F1" w:rsidRDefault="00B512BB" w:rsidP="00122A9E">
            <w:pPr>
              <w:numPr>
                <w:ilvl w:val="0"/>
                <w:numId w:val="3"/>
              </w:numPr>
              <w:spacing w:after="80" w:line="220" w:lineRule="exact"/>
              <w:ind w:left="363" w:right="0" w:hanging="360"/>
              <w:jc w:val="left"/>
            </w:pPr>
            <w:r>
              <w:rPr>
                <w:sz w:val="20"/>
              </w:rPr>
              <w:t xml:space="preserve">All downloadable </w:t>
            </w:r>
            <w:r w:rsidR="00BA315E">
              <w:rPr>
                <w:sz w:val="20"/>
              </w:rPr>
              <w:t>T</w:t>
            </w:r>
            <w:r>
              <w:rPr>
                <w:sz w:val="20"/>
              </w:rPr>
              <w:t>itle documents held at the Land Registry</w:t>
            </w:r>
            <w:r w:rsidR="005E19AA">
              <w:rPr>
                <w:sz w:val="20"/>
              </w:rPr>
              <w:t xml:space="preserve"> referred to in the Title Information Document</w:t>
            </w:r>
            <w:r>
              <w:rPr>
                <w:sz w:val="20"/>
              </w:rPr>
              <w:t xml:space="preserve">. </w:t>
            </w:r>
          </w:p>
          <w:p w14:paraId="5FB32D5F" w14:textId="5C384F64" w:rsidR="000360F1" w:rsidRDefault="00B512BB" w:rsidP="00122A9E">
            <w:pPr>
              <w:numPr>
                <w:ilvl w:val="0"/>
                <w:numId w:val="3"/>
              </w:numPr>
              <w:spacing w:after="80" w:line="220" w:lineRule="exact"/>
              <w:ind w:left="363" w:right="55" w:hanging="370"/>
              <w:jc w:val="left"/>
            </w:pPr>
            <w:r w:rsidRPr="00AD0CCC">
              <w:rPr>
                <w:sz w:val="20"/>
              </w:rPr>
              <w:t>A draft Transfer</w:t>
            </w:r>
            <w:r>
              <w:rPr>
                <w:sz w:val="20"/>
                <w:vertAlign w:val="superscript"/>
              </w:rPr>
              <w:footnoteReference w:id="14"/>
            </w:r>
            <w:r w:rsidRPr="00AD0CCC">
              <w:rPr>
                <w:sz w:val="20"/>
              </w:rPr>
              <w:t xml:space="preserve"> (with the buyer’s details and price left blank if necessary). Any required clauses will in the main be a requirement of the seller. </w:t>
            </w:r>
            <w:r w:rsidR="005E19AA">
              <w:rPr>
                <w:sz w:val="20"/>
              </w:rPr>
              <w:t xml:space="preserve">This can either be prepared using the HM Land Registry Digital Registration Service for digital execution or using the standard TR1 form. </w:t>
            </w:r>
            <w:r w:rsidRPr="00AD0CCC">
              <w:rPr>
                <w:sz w:val="20"/>
              </w:rPr>
              <w:t>Duplicate Transfers are acceptable to the Land Registry and the buyer’s lawyer can add any required joint ownership clauses</w:t>
            </w:r>
            <w:r w:rsidR="00476ACC" w:rsidRPr="00AD0CCC">
              <w:rPr>
                <w:sz w:val="20"/>
              </w:rPr>
              <w:t>, however care should be taken to ensure that the agreed form of wording is executed and provided on Completion</w:t>
            </w:r>
            <w:r w:rsidRPr="002F5494">
              <w:rPr>
                <w:sz w:val="20"/>
              </w:rPr>
              <w:t>;</w:t>
            </w:r>
            <w:r>
              <w:rPr>
                <w:sz w:val="20"/>
                <w:vertAlign w:val="superscript"/>
              </w:rPr>
              <w:footnoteReference w:id="15"/>
            </w:r>
            <w:r w:rsidRPr="00AD0CCC">
              <w:rPr>
                <w:sz w:val="20"/>
              </w:rPr>
              <w:t xml:space="preserve"> and  </w:t>
            </w:r>
          </w:p>
          <w:p w14:paraId="7BDF960A" w14:textId="77777777" w:rsidR="000360F1" w:rsidRPr="005826CC" w:rsidRDefault="00B512BB" w:rsidP="00122A9E">
            <w:pPr>
              <w:numPr>
                <w:ilvl w:val="0"/>
                <w:numId w:val="3"/>
              </w:numPr>
              <w:spacing w:after="80" w:line="220" w:lineRule="exact"/>
              <w:ind w:left="363" w:right="0" w:hanging="360"/>
              <w:jc w:val="left"/>
            </w:pPr>
            <w:r>
              <w:rPr>
                <w:sz w:val="20"/>
              </w:rPr>
              <w:t xml:space="preserve">Replies to Requisitions on Title. </w:t>
            </w:r>
          </w:p>
          <w:p w14:paraId="22D85513" w14:textId="409FDE66" w:rsidR="00A746AA" w:rsidRPr="005826CC" w:rsidRDefault="00A746AA" w:rsidP="00122A9E">
            <w:pPr>
              <w:numPr>
                <w:ilvl w:val="0"/>
                <w:numId w:val="3"/>
              </w:numPr>
              <w:spacing w:after="80" w:line="220" w:lineRule="exact"/>
              <w:ind w:left="363" w:right="0" w:hanging="360"/>
              <w:jc w:val="left"/>
            </w:pPr>
            <w:r>
              <w:rPr>
                <w:sz w:val="20"/>
              </w:rPr>
              <w:t xml:space="preserve">The Certificate required by </w:t>
            </w:r>
            <w:r w:rsidR="00C16E1E">
              <w:rPr>
                <w:sz w:val="20"/>
              </w:rPr>
              <w:t>a restriction registered at Land Registry under Form RQ</w:t>
            </w:r>
          </w:p>
          <w:p w14:paraId="4B8BFDFC" w14:textId="7E0DCEB8" w:rsidR="000360F1" w:rsidRDefault="001F13EB" w:rsidP="00BA315E">
            <w:pPr>
              <w:spacing w:afterLines="80" w:after="192" w:line="220" w:lineRule="exact"/>
              <w:ind w:right="0"/>
              <w:jc w:val="left"/>
            </w:pPr>
            <w:r>
              <w:rPr>
                <w:sz w:val="20"/>
              </w:rPr>
              <w:t xml:space="preserve">Where the contract pack is issued by email, so long as the recipient </w:t>
            </w:r>
            <w:r w:rsidR="00F92280">
              <w:rPr>
                <w:sz w:val="20"/>
              </w:rPr>
              <w:t xml:space="preserve">is expecting the contract pack for that transaction and </w:t>
            </w:r>
            <w:r>
              <w:rPr>
                <w:sz w:val="20"/>
              </w:rPr>
              <w:t>has up to date security software, this should be accepted after the appropriate virus check without the need for a hard copy of the documentation to be requested.</w:t>
            </w:r>
            <w:r w:rsidR="00570E81">
              <w:rPr>
                <w:sz w:val="20"/>
              </w:rPr>
              <w:t xml:space="preserve">  When sending a contract pack by email each document should be a separate attachment to aid reporting</w:t>
            </w:r>
            <w:r w:rsidR="00BA315E">
              <w:rPr>
                <w:sz w:val="20"/>
              </w:rPr>
              <w:t>.</w:t>
            </w:r>
          </w:p>
        </w:tc>
      </w:tr>
      <w:tr w:rsidR="000D3805" w14:paraId="475D17D3" w14:textId="77777777" w:rsidTr="0065688B">
        <w:tblPrEx>
          <w:tblCellMar>
            <w:top w:w="7" w:type="dxa"/>
            <w:left w:w="107" w:type="dxa"/>
            <w:right w:w="53" w:type="dxa"/>
          </w:tblCellMar>
        </w:tblPrEx>
        <w:trPr>
          <w:gridBefore w:val="1"/>
          <w:wBefore w:w="12" w:type="dxa"/>
          <w:trHeight w:val="1391"/>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EAD5EF"/>
          </w:tcPr>
          <w:p w14:paraId="6E5F8B8C" w14:textId="77777777" w:rsidR="000360F1" w:rsidRDefault="00B512BB" w:rsidP="007F35DF">
            <w:pPr>
              <w:spacing w:after="0" w:line="259" w:lineRule="auto"/>
              <w:ind w:left="0" w:right="0" w:firstLine="0"/>
              <w:jc w:val="left"/>
            </w:pPr>
            <w:r>
              <w:rPr>
                <w:b/>
                <w:sz w:val="20"/>
              </w:rPr>
              <w:t xml:space="preserve"> </w:t>
            </w:r>
          </w:p>
          <w:p w14:paraId="62796B13" w14:textId="2F9995A7" w:rsidR="000360F1" w:rsidRDefault="00B512BB" w:rsidP="007F35DF">
            <w:pPr>
              <w:spacing w:after="0" w:line="259" w:lineRule="auto"/>
              <w:ind w:left="0" w:right="0" w:firstLine="0"/>
              <w:jc w:val="left"/>
            </w:pPr>
            <w:r>
              <w:rPr>
                <w:b/>
                <w:sz w:val="20"/>
              </w:rPr>
              <w:t>1.</w:t>
            </w:r>
            <w:r w:rsidR="00295F8D">
              <w:rPr>
                <w:b/>
                <w:sz w:val="20"/>
              </w:rPr>
              <w:t>10</w:t>
            </w:r>
            <w:r>
              <w:rPr>
                <w:b/>
                <w:sz w:val="20"/>
              </w:rPr>
              <w:t xml:space="preserve"> Delays in the Transaction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0DA36C" w14:textId="77777777" w:rsidR="000360F1" w:rsidRDefault="00B512BB" w:rsidP="007F35DF">
            <w:pPr>
              <w:spacing w:after="0" w:line="259" w:lineRule="auto"/>
              <w:ind w:left="0" w:right="0" w:firstLine="0"/>
              <w:jc w:val="left"/>
            </w:pPr>
            <w:r>
              <w:rPr>
                <w:sz w:val="20"/>
              </w:rPr>
              <w:t xml:space="preserve"> </w:t>
            </w:r>
          </w:p>
          <w:p w14:paraId="1143592D" w14:textId="44FCC611" w:rsidR="000360F1" w:rsidRDefault="00B512BB" w:rsidP="007F35DF">
            <w:pPr>
              <w:spacing w:after="0" w:line="259" w:lineRule="auto"/>
              <w:ind w:left="0" w:right="0" w:firstLine="0"/>
              <w:jc w:val="left"/>
            </w:pPr>
            <w:r>
              <w:rPr>
                <w:sz w:val="20"/>
              </w:rPr>
              <w:t>Leasehold</w:t>
            </w:r>
            <w:r w:rsidR="00570E81">
              <w:rPr>
                <w:sz w:val="20"/>
              </w:rPr>
              <w:t xml:space="preserve"> or Managed Freehold</w:t>
            </w:r>
            <w:r>
              <w:rPr>
                <w:sz w:val="20"/>
              </w:rPr>
              <w:t xml:space="preserve"> Enquiries </w:t>
            </w:r>
          </w:p>
        </w:tc>
        <w:tc>
          <w:tcPr>
            <w:tcW w:w="4905" w:type="dxa"/>
            <w:tcBorders>
              <w:top w:val="single" w:sz="4" w:space="0" w:color="000000"/>
              <w:left w:val="single" w:sz="4" w:space="0" w:color="000000"/>
              <w:bottom w:val="single" w:sz="4" w:space="0" w:color="000000"/>
              <w:right w:val="single" w:sz="4" w:space="0" w:color="000000"/>
            </w:tcBorders>
          </w:tcPr>
          <w:p w14:paraId="7740AB5C" w14:textId="77777777" w:rsidR="001E1360" w:rsidRDefault="001E1360" w:rsidP="007F35DF">
            <w:pPr>
              <w:spacing w:after="0" w:line="259" w:lineRule="auto"/>
              <w:ind w:left="0" w:right="0" w:firstLine="0"/>
              <w:jc w:val="left"/>
            </w:pPr>
          </w:p>
          <w:p w14:paraId="1B16F795" w14:textId="4A7270CB" w:rsidR="00885C1A" w:rsidRDefault="00B512BB" w:rsidP="00122A9E">
            <w:pPr>
              <w:spacing w:afterLines="80" w:after="192" w:line="220" w:lineRule="exact"/>
              <w:ind w:left="4" w:right="61" w:firstLine="0"/>
              <w:jc w:val="left"/>
              <w:rPr>
                <w:sz w:val="20"/>
              </w:rPr>
            </w:pPr>
            <w:r>
              <w:rPr>
                <w:sz w:val="20"/>
              </w:rPr>
              <w:t>Avoid delays by advising the client that payment will be required by the Lease</w:t>
            </w:r>
            <w:r w:rsidR="00570E81">
              <w:rPr>
                <w:sz w:val="20"/>
              </w:rPr>
              <w:t xml:space="preserve"> or Estate</w:t>
            </w:r>
            <w:r>
              <w:rPr>
                <w:sz w:val="20"/>
              </w:rPr>
              <w:t xml:space="preserve"> Administrator for providing the information required by the buyer’s lawyer</w:t>
            </w:r>
            <w:r w:rsidR="00885C1A">
              <w:rPr>
                <w:sz w:val="20"/>
              </w:rPr>
              <w:t>.</w:t>
            </w:r>
          </w:p>
          <w:p w14:paraId="0541742B" w14:textId="22865EC1" w:rsidR="000360F1" w:rsidRDefault="00885C1A" w:rsidP="00122A9E">
            <w:pPr>
              <w:spacing w:afterLines="80" w:after="192" w:line="220" w:lineRule="exact"/>
              <w:ind w:left="4" w:right="61" w:firstLine="0"/>
              <w:jc w:val="left"/>
            </w:pPr>
            <w:r>
              <w:rPr>
                <w:sz w:val="20"/>
              </w:rPr>
              <w:t xml:space="preserve">Request referrers and estate agents encourage sellers to </w:t>
            </w:r>
            <w:r w:rsidR="00F21D63">
              <w:rPr>
                <w:sz w:val="20"/>
              </w:rPr>
              <w:t>contact</w:t>
            </w:r>
            <w:r w:rsidR="00476ACC">
              <w:rPr>
                <w:sz w:val="20"/>
              </w:rPr>
              <w:t xml:space="preserve"> the Lease </w:t>
            </w:r>
            <w:r w:rsidR="00570E81">
              <w:rPr>
                <w:sz w:val="20"/>
              </w:rPr>
              <w:t xml:space="preserve">or Estate </w:t>
            </w:r>
            <w:r w:rsidR="00476ACC">
              <w:rPr>
                <w:sz w:val="20"/>
              </w:rPr>
              <w:t xml:space="preserve">Administrator </w:t>
            </w:r>
            <w:r>
              <w:rPr>
                <w:sz w:val="20"/>
              </w:rPr>
              <w:t xml:space="preserve">at the point of marketing </w:t>
            </w:r>
            <w:r w:rsidR="00476ACC">
              <w:rPr>
                <w:sz w:val="20"/>
              </w:rPr>
              <w:t xml:space="preserve">to establish the cost and procedure </w:t>
            </w:r>
            <w:r>
              <w:rPr>
                <w:sz w:val="20"/>
              </w:rPr>
              <w:t>to obtain the information.</w:t>
            </w:r>
          </w:p>
          <w:p w14:paraId="3B1247E6" w14:textId="0DF2A787" w:rsidR="000360F1" w:rsidRDefault="004E4C86" w:rsidP="00122A9E">
            <w:pPr>
              <w:spacing w:afterLines="80" w:after="192" w:line="220" w:lineRule="exact"/>
              <w:ind w:left="4" w:right="0" w:firstLine="0"/>
              <w:jc w:val="left"/>
            </w:pPr>
            <w:r>
              <w:rPr>
                <w:sz w:val="20"/>
              </w:rPr>
              <w:t xml:space="preserve">Check the Proprietorship Register of the superior </w:t>
            </w:r>
            <w:r w:rsidR="00C222A6">
              <w:rPr>
                <w:sz w:val="20"/>
              </w:rPr>
              <w:t>T</w:t>
            </w:r>
            <w:r>
              <w:rPr>
                <w:sz w:val="20"/>
              </w:rPr>
              <w:t>itle to see if there is an email address recorded.</w:t>
            </w:r>
          </w:p>
        </w:tc>
      </w:tr>
      <w:tr w:rsidR="000D3805" w14:paraId="47A9BA86" w14:textId="77777777" w:rsidTr="0065688B">
        <w:tblPrEx>
          <w:tblCellMar>
            <w:top w:w="7" w:type="dxa"/>
            <w:left w:w="107" w:type="dxa"/>
            <w:right w:w="53" w:type="dxa"/>
          </w:tblCellMar>
        </w:tblPrEx>
        <w:trPr>
          <w:gridBefore w:val="1"/>
          <w:wBefore w:w="12" w:type="dxa"/>
          <w:trHeight w:val="2308"/>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EAD5EF"/>
          </w:tcPr>
          <w:p w14:paraId="5967C840" w14:textId="77777777" w:rsidR="000360F1" w:rsidRDefault="00B512BB" w:rsidP="00122A9E">
            <w:pPr>
              <w:spacing w:afterLines="80" w:after="192" w:line="220" w:lineRule="exact"/>
              <w:ind w:left="0" w:right="0" w:firstLine="0"/>
              <w:jc w:val="left"/>
            </w:pPr>
            <w:r>
              <w:rPr>
                <w:b/>
                <w:sz w:val="20"/>
              </w:rPr>
              <w:t xml:space="preserve"> </w:t>
            </w:r>
          </w:p>
          <w:p w14:paraId="7D7A2DD7" w14:textId="320EE4F6" w:rsidR="000360F1" w:rsidRDefault="00B512BB" w:rsidP="007F35DF">
            <w:pPr>
              <w:spacing w:after="0" w:line="259" w:lineRule="auto"/>
              <w:ind w:left="0" w:right="0" w:firstLine="0"/>
              <w:jc w:val="left"/>
            </w:pPr>
            <w:r>
              <w:rPr>
                <w:b/>
                <w:sz w:val="20"/>
              </w:rPr>
              <w:t>1.1</w:t>
            </w:r>
            <w:r w:rsidR="00295F8D">
              <w:rPr>
                <w:b/>
                <w:sz w:val="20"/>
              </w:rPr>
              <w:t>1</w:t>
            </w:r>
            <w:r>
              <w:rPr>
                <w:b/>
                <w:sz w:val="20"/>
              </w:rPr>
              <w:t xml:space="preserve"> Delays in the Transaction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3D9534" w14:textId="77777777" w:rsidR="000360F1" w:rsidRDefault="00B512BB" w:rsidP="007F35DF">
            <w:pPr>
              <w:spacing w:after="0" w:line="259" w:lineRule="auto"/>
              <w:ind w:left="0" w:right="0" w:firstLine="0"/>
              <w:jc w:val="left"/>
            </w:pPr>
            <w:r>
              <w:rPr>
                <w:sz w:val="20"/>
              </w:rPr>
              <w:t xml:space="preserve"> </w:t>
            </w:r>
          </w:p>
          <w:p w14:paraId="7C91CEB8" w14:textId="77777777" w:rsidR="000360F1" w:rsidRDefault="00B512BB" w:rsidP="007F35DF">
            <w:pPr>
              <w:spacing w:after="0" w:line="259" w:lineRule="auto"/>
              <w:ind w:left="0" w:right="0" w:firstLine="0"/>
              <w:jc w:val="left"/>
            </w:pPr>
            <w:r>
              <w:rPr>
                <w:sz w:val="20"/>
              </w:rPr>
              <w:t xml:space="preserve">Obtaining Signed </w:t>
            </w:r>
          </w:p>
          <w:p w14:paraId="00B45917" w14:textId="77777777" w:rsidR="000360F1" w:rsidRDefault="00B512BB" w:rsidP="007F35DF">
            <w:pPr>
              <w:spacing w:after="0" w:line="259" w:lineRule="auto"/>
              <w:ind w:left="0" w:right="0" w:firstLine="0"/>
              <w:jc w:val="left"/>
            </w:pPr>
            <w:r>
              <w:rPr>
                <w:sz w:val="20"/>
              </w:rPr>
              <w:t xml:space="preserve">Contract at the Earliest </w:t>
            </w:r>
          </w:p>
          <w:p w14:paraId="21CA7EBB" w14:textId="77777777" w:rsidR="000360F1" w:rsidRDefault="00B512BB" w:rsidP="007F35DF">
            <w:pPr>
              <w:spacing w:after="0" w:line="259" w:lineRule="auto"/>
              <w:ind w:left="0" w:right="0" w:firstLine="0"/>
              <w:jc w:val="left"/>
            </w:pPr>
            <w:r>
              <w:rPr>
                <w:sz w:val="20"/>
              </w:rPr>
              <w:t xml:space="preserve">Opportunity </w:t>
            </w:r>
          </w:p>
        </w:tc>
        <w:tc>
          <w:tcPr>
            <w:tcW w:w="4905" w:type="dxa"/>
            <w:tcBorders>
              <w:top w:val="single" w:sz="4" w:space="0" w:color="000000"/>
              <w:left w:val="single" w:sz="4" w:space="0" w:color="000000"/>
              <w:bottom w:val="single" w:sz="4" w:space="0" w:color="000000"/>
              <w:right w:val="single" w:sz="4" w:space="0" w:color="000000"/>
            </w:tcBorders>
          </w:tcPr>
          <w:p w14:paraId="684494B4" w14:textId="77777777" w:rsidR="001E1360" w:rsidRDefault="00B512BB" w:rsidP="007F35DF">
            <w:pPr>
              <w:spacing w:after="0" w:line="259" w:lineRule="auto"/>
              <w:ind w:left="0" w:right="0" w:firstLine="0"/>
              <w:jc w:val="left"/>
            </w:pPr>
            <w:r>
              <w:rPr>
                <w:sz w:val="20"/>
              </w:rPr>
              <w:t xml:space="preserve"> </w:t>
            </w:r>
            <w:r w:rsidR="001E1360">
              <w:rPr>
                <w:sz w:val="20"/>
              </w:rPr>
              <w:t xml:space="preserve"> </w:t>
            </w:r>
          </w:p>
          <w:p w14:paraId="0EB6CCEE" w14:textId="28B389B4" w:rsidR="000360F1" w:rsidRDefault="00B512BB" w:rsidP="00122A9E">
            <w:pPr>
              <w:spacing w:afterLines="80" w:after="192" w:line="220" w:lineRule="exact"/>
              <w:ind w:left="4" w:right="57" w:firstLine="0"/>
              <w:jc w:val="left"/>
            </w:pPr>
            <w:r>
              <w:rPr>
                <w:sz w:val="20"/>
              </w:rPr>
              <w:t>The seller’s lawyer may leave the buyer’s details blank on the draft contract so the buyer’s lawyer may fill those in by hand and be confirmed on Exchange of Contracts, if necessary</w:t>
            </w:r>
            <w:r w:rsidR="004E4C86">
              <w:rPr>
                <w:sz w:val="20"/>
              </w:rPr>
              <w:t xml:space="preserve">. </w:t>
            </w:r>
            <w:r w:rsidR="00E16D3A">
              <w:rPr>
                <w:sz w:val="20"/>
              </w:rPr>
              <w:t>A</w:t>
            </w:r>
            <w:r w:rsidR="004E4C86">
              <w:rPr>
                <w:sz w:val="20"/>
              </w:rPr>
              <w:t>lternatively, a digital version of the contract can be signed digitally</w:t>
            </w:r>
            <w:r w:rsidR="00CB7B86">
              <w:rPr>
                <w:sz w:val="20"/>
              </w:rPr>
              <w:t>.</w:t>
            </w:r>
            <w:r>
              <w:rPr>
                <w:sz w:val="20"/>
              </w:rPr>
              <w:t xml:space="preserve"> </w:t>
            </w:r>
          </w:p>
          <w:p w14:paraId="7E3B654A" w14:textId="0AB680B5" w:rsidR="000360F1" w:rsidRDefault="00B512BB" w:rsidP="00122A9E">
            <w:pPr>
              <w:spacing w:afterLines="80" w:after="192" w:line="220" w:lineRule="exact"/>
              <w:ind w:left="4" w:right="0" w:firstLine="0"/>
              <w:jc w:val="left"/>
            </w:pPr>
            <w:r>
              <w:rPr>
                <w:sz w:val="20"/>
              </w:rPr>
              <w:t xml:space="preserve">This enables both the buyer and the seller’s lawyer to report to the client early and request their client sign the contract prior to final approval which the lawyers will do on their behalf, initialling any </w:t>
            </w:r>
            <w:r w:rsidR="002935EF">
              <w:rPr>
                <w:sz w:val="20"/>
              </w:rPr>
              <w:t xml:space="preserve">agreed amendments as agent for their client with their verbal or emailed authority. </w:t>
            </w:r>
          </w:p>
        </w:tc>
      </w:tr>
      <w:tr w:rsidR="000D3805" w14:paraId="6FEFB711" w14:textId="77777777" w:rsidTr="0065688B">
        <w:tblPrEx>
          <w:tblCellMar>
            <w:top w:w="7" w:type="dxa"/>
            <w:left w:w="107" w:type="dxa"/>
            <w:right w:w="53" w:type="dxa"/>
          </w:tblCellMar>
        </w:tblPrEx>
        <w:trPr>
          <w:trHeight w:val="4099"/>
        </w:trPr>
        <w:tc>
          <w:tcPr>
            <w:tcW w:w="3355" w:type="dxa"/>
            <w:gridSpan w:val="3"/>
            <w:tcBorders>
              <w:top w:val="single" w:sz="4" w:space="0" w:color="000000"/>
              <w:left w:val="single" w:sz="4" w:space="0" w:color="000000"/>
              <w:bottom w:val="single" w:sz="4" w:space="0" w:color="000000"/>
              <w:right w:val="single" w:sz="4" w:space="0" w:color="000000"/>
            </w:tcBorders>
            <w:shd w:val="clear" w:color="auto" w:fill="EAD5EF"/>
          </w:tcPr>
          <w:p w14:paraId="14B09E71" w14:textId="77777777" w:rsidR="000360F1" w:rsidRDefault="00B512BB" w:rsidP="007F35DF">
            <w:pPr>
              <w:spacing w:after="0" w:line="259" w:lineRule="auto"/>
              <w:ind w:left="0" w:right="0" w:firstLine="0"/>
              <w:jc w:val="left"/>
            </w:pPr>
            <w:r>
              <w:rPr>
                <w:b/>
                <w:sz w:val="20"/>
              </w:rPr>
              <w:t xml:space="preserve"> </w:t>
            </w:r>
          </w:p>
          <w:p w14:paraId="56BB0AB3" w14:textId="182D8908" w:rsidR="000360F1" w:rsidRDefault="00B512BB" w:rsidP="007F35DF">
            <w:pPr>
              <w:spacing w:after="0" w:line="259" w:lineRule="auto"/>
              <w:ind w:left="0" w:right="0" w:firstLine="0"/>
              <w:jc w:val="left"/>
            </w:pPr>
            <w:r>
              <w:rPr>
                <w:b/>
                <w:sz w:val="20"/>
              </w:rPr>
              <w:t>1.1</w:t>
            </w:r>
            <w:r w:rsidR="00295F8D">
              <w:rPr>
                <w:b/>
                <w:sz w:val="20"/>
              </w:rPr>
              <w:t>2</w:t>
            </w:r>
            <w:r>
              <w:rPr>
                <w:b/>
                <w:sz w:val="20"/>
              </w:rPr>
              <w:t xml:space="preserve"> Delays </w:t>
            </w:r>
            <w:r w:rsidR="00BA315E">
              <w:rPr>
                <w:b/>
                <w:sz w:val="20"/>
              </w:rPr>
              <w:t>in</w:t>
            </w:r>
            <w:r>
              <w:rPr>
                <w:b/>
                <w:sz w:val="20"/>
              </w:rPr>
              <w:t xml:space="preserve"> the transaction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9650F6" w14:textId="77777777" w:rsidR="000360F1" w:rsidRDefault="00B512BB" w:rsidP="007F35DF">
            <w:pPr>
              <w:spacing w:after="0" w:line="259" w:lineRule="auto"/>
              <w:ind w:left="0" w:right="0" w:firstLine="0"/>
              <w:jc w:val="left"/>
            </w:pPr>
            <w:r>
              <w:rPr>
                <w:sz w:val="20"/>
              </w:rPr>
              <w:t xml:space="preserve"> </w:t>
            </w:r>
          </w:p>
          <w:p w14:paraId="01ACE8B4" w14:textId="77777777" w:rsidR="000360F1" w:rsidRDefault="00B512BB" w:rsidP="007F35DF">
            <w:pPr>
              <w:spacing w:after="0" w:line="259" w:lineRule="auto"/>
              <w:ind w:left="0" w:right="0" w:firstLine="0"/>
              <w:jc w:val="left"/>
            </w:pPr>
            <w:r>
              <w:rPr>
                <w:sz w:val="20"/>
              </w:rPr>
              <w:t xml:space="preserve">Avoiding Delays on </w:t>
            </w:r>
          </w:p>
          <w:p w14:paraId="6167F41E" w14:textId="77777777" w:rsidR="000360F1" w:rsidRDefault="00B512BB" w:rsidP="007F35DF">
            <w:pPr>
              <w:spacing w:after="0" w:line="259" w:lineRule="auto"/>
              <w:ind w:left="0" w:right="0" w:firstLine="0"/>
              <w:jc w:val="left"/>
            </w:pPr>
            <w:r>
              <w:rPr>
                <w:sz w:val="20"/>
              </w:rPr>
              <w:t xml:space="preserve">Completion </w:t>
            </w:r>
          </w:p>
        </w:tc>
        <w:tc>
          <w:tcPr>
            <w:tcW w:w="4905" w:type="dxa"/>
            <w:tcBorders>
              <w:top w:val="single" w:sz="4" w:space="0" w:color="000000"/>
              <w:left w:val="single" w:sz="4" w:space="0" w:color="000000"/>
              <w:bottom w:val="single" w:sz="4" w:space="0" w:color="000000"/>
              <w:right w:val="single" w:sz="4" w:space="0" w:color="000000"/>
            </w:tcBorders>
          </w:tcPr>
          <w:p w14:paraId="1361E382" w14:textId="77777777" w:rsidR="001E1360" w:rsidRDefault="001E1360" w:rsidP="007F35DF">
            <w:pPr>
              <w:spacing w:after="0" w:line="259" w:lineRule="auto"/>
              <w:ind w:left="0" w:right="0" w:firstLine="0"/>
              <w:jc w:val="left"/>
            </w:pPr>
          </w:p>
          <w:p w14:paraId="7ED5DEED" w14:textId="77777777" w:rsidR="00476ACC" w:rsidRPr="00842A8A" w:rsidRDefault="00476ACC" w:rsidP="00122A9E">
            <w:pPr>
              <w:spacing w:afterLines="80" w:after="192" w:line="220" w:lineRule="exact"/>
              <w:ind w:left="4" w:right="61" w:firstLine="0"/>
              <w:jc w:val="left"/>
              <w:rPr>
                <w:sz w:val="20"/>
                <w:szCs w:val="20"/>
              </w:rPr>
            </w:pPr>
            <w:r w:rsidRPr="00842A8A">
              <w:rPr>
                <w:sz w:val="20"/>
                <w:szCs w:val="20"/>
              </w:rPr>
              <w:t>Employ the Conveyancer’s Code for Completion to enable funds to be transmitted the day before Completion.</w:t>
            </w:r>
          </w:p>
          <w:p w14:paraId="491DA946" w14:textId="167449B7" w:rsidR="000360F1" w:rsidRPr="00842A8A" w:rsidRDefault="00476ACC" w:rsidP="00122A9E">
            <w:pPr>
              <w:spacing w:afterLines="80" w:after="192" w:line="220" w:lineRule="exact"/>
              <w:ind w:left="4" w:right="61" w:firstLine="0"/>
              <w:jc w:val="left"/>
              <w:rPr>
                <w:sz w:val="20"/>
                <w:szCs w:val="20"/>
              </w:rPr>
            </w:pPr>
            <w:r w:rsidRPr="00842A8A">
              <w:rPr>
                <w:sz w:val="20"/>
                <w:szCs w:val="20"/>
              </w:rPr>
              <w:t>If unable to use the Code, r</w:t>
            </w:r>
            <w:r w:rsidR="00B512BB" w:rsidRPr="00842A8A">
              <w:rPr>
                <w:sz w:val="20"/>
                <w:szCs w:val="20"/>
              </w:rPr>
              <w:t xml:space="preserve">equest client and lender monies to arrive at least the day before Completion and check with the sender, in advance, to ensure they will be sent. </w:t>
            </w:r>
          </w:p>
          <w:p w14:paraId="390C6D1E" w14:textId="063CC089" w:rsidR="00CB7B86" w:rsidRPr="00122A9E" w:rsidRDefault="00CB7B86" w:rsidP="00122A9E">
            <w:pPr>
              <w:spacing w:afterLines="80" w:after="192" w:line="220" w:lineRule="exact"/>
              <w:ind w:left="4" w:right="61" w:firstLine="0"/>
              <w:jc w:val="left"/>
              <w:rPr>
                <w:sz w:val="20"/>
                <w:szCs w:val="20"/>
              </w:rPr>
            </w:pPr>
            <w:r w:rsidRPr="00122A9E">
              <w:rPr>
                <w:sz w:val="20"/>
                <w:szCs w:val="20"/>
              </w:rPr>
              <w:t>Highlight early in the transaction to clients that their bank may limit the amount which they can send in one day, so they can make alternative arrangements.</w:t>
            </w:r>
          </w:p>
          <w:p w14:paraId="2C63137F" w14:textId="05DE2702" w:rsidR="000360F1" w:rsidRPr="00CC4301" w:rsidRDefault="00B512BB" w:rsidP="00CC4301">
            <w:pPr>
              <w:spacing w:afterLines="80" w:after="192" w:line="220" w:lineRule="exact"/>
              <w:ind w:left="4" w:right="59" w:firstLine="0"/>
              <w:jc w:val="left"/>
              <w:rPr>
                <w:sz w:val="20"/>
              </w:rPr>
            </w:pPr>
            <w:r w:rsidRPr="00842A8A">
              <w:rPr>
                <w:sz w:val="20"/>
                <w:szCs w:val="20"/>
              </w:rPr>
              <w:t xml:space="preserve">Set up </w:t>
            </w:r>
            <w:r w:rsidR="00CB7B86" w:rsidRPr="00842A8A">
              <w:rPr>
                <w:sz w:val="20"/>
                <w:szCs w:val="20"/>
              </w:rPr>
              <w:t xml:space="preserve">funds </w:t>
            </w:r>
            <w:r w:rsidRPr="00842A8A">
              <w:rPr>
                <w:sz w:val="20"/>
                <w:szCs w:val="20"/>
              </w:rPr>
              <w:t>transfers the day before Completion when in</w:t>
            </w:r>
            <w:r w:rsidR="002B05FF">
              <w:rPr>
                <w:sz w:val="20"/>
                <w:szCs w:val="20"/>
              </w:rPr>
              <w:t>,</w:t>
            </w:r>
            <w:r w:rsidRPr="00842A8A">
              <w:rPr>
                <w:sz w:val="20"/>
                <w:szCs w:val="20"/>
              </w:rPr>
              <w:t xml:space="preserve"> funds to go first thing on the day of Completion, as appropriate. </w:t>
            </w:r>
          </w:p>
        </w:tc>
      </w:tr>
      <w:tr w:rsidR="007F35DF" w14:paraId="15374C38" w14:textId="77777777" w:rsidTr="00CC4301">
        <w:tblPrEx>
          <w:tblCellMar>
            <w:top w:w="7" w:type="dxa"/>
            <w:left w:w="107" w:type="dxa"/>
            <w:right w:w="53" w:type="dxa"/>
          </w:tblCellMar>
        </w:tblPrEx>
        <w:trPr>
          <w:trHeight w:val="550"/>
        </w:trPr>
        <w:tc>
          <w:tcPr>
            <w:tcW w:w="3355" w:type="dxa"/>
            <w:gridSpan w:val="3"/>
            <w:tcBorders>
              <w:top w:val="single" w:sz="4" w:space="0" w:color="000000"/>
              <w:left w:val="single" w:sz="4" w:space="0" w:color="000000"/>
              <w:bottom w:val="single" w:sz="4" w:space="0" w:color="000000"/>
              <w:right w:val="single" w:sz="4" w:space="0" w:color="000000"/>
            </w:tcBorders>
            <w:shd w:val="clear" w:color="auto" w:fill="EAD5EF"/>
          </w:tcPr>
          <w:p w14:paraId="5A4EEF66" w14:textId="6DD61D09" w:rsidR="000360F1" w:rsidRDefault="00B512BB" w:rsidP="007F35DF">
            <w:pPr>
              <w:spacing w:after="0" w:line="259" w:lineRule="auto"/>
              <w:ind w:left="0" w:right="0" w:firstLine="0"/>
              <w:jc w:val="left"/>
            </w:pPr>
            <w:r>
              <w:rPr>
                <w:b/>
                <w:sz w:val="20"/>
              </w:rPr>
              <w:t xml:space="preserve"> </w:t>
            </w:r>
          </w:p>
          <w:p w14:paraId="21430F5F" w14:textId="77777777" w:rsidR="000360F1" w:rsidRDefault="00B512BB" w:rsidP="007F35DF">
            <w:pPr>
              <w:spacing w:after="0" w:line="259" w:lineRule="auto"/>
              <w:ind w:left="0" w:right="0" w:firstLine="0"/>
              <w:jc w:val="left"/>
            </w:pPr>
            <w:r>
              <w:rPr>
                <w:b/>
                <w:sz w:val="20"/>
              </w:rPr>
              <w:t xml:space="preserve">2.0 Additional Enquiries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B177E5" w14:textId="77777777" w:rsidR="000360F1" w:rsidRDefault="00B512BB" w:rsidP="007F35DF">
            <w:pPr>
              <w:spacing w:after="0" w:line="259" w:lineRule="auto"/>
              <w:ind w:left="0" w:right="0" w:firstLine="0"/>
              <w:jc w:val="left"/>
            </w:pPr>
            <w:r>
              <w:rPr>
                <w:sz w:val="20"/>
              </w:rPr>
              <w:t xml:space="preserve"> </w:t>
            </w:r>
          </w:p>
          <w:p w14:paraId="47515180" w14:textId="77777777" w:rsidR="000360F1" w:rsidRDefault="00B512BB" w:rsidP="007F35DF">
            <w:pPr>
              <w:spacing w:after="0" w:line="259" w:lineRule="auto"/>
              <w:ind w:left="0" w:right="0" w:firstLine="0"/>
              <w:jc w:val="left"/>
            </w:pPr>
            <w:r>
              <w:rPr>
                <w:sz w:val="20"/>
              </w:rPr>
              <w:t xml:space="preserve">Avoiding Unnecessary </w:t>
            </w:r>
          </w:p>
          <w:p w14:paraId="15B07604" w14:textId="77777777" w:rsidR="000360F1" w:rsidRDefault="00B512BB" w:rsidP="007F35DF">
            <w:pPr>
              <w:spacing w:after="0" w:line="259" w:lineRule="auto"/>
              <w:ind w:left="0" w:right="0" w:firstLine="0"/>
              <w:jc w:val="left"/>
            </w:pPr>
            <w:r>
              <w:rPr>
                <w:sz w:val="20"/>
              </w:rPr>
              <w:t xml:space="preserve">Additional Enquiries </w:t>
            </w:r>
          </w:p>
          <w:p w14:paraId="2DAC3B1D" w14:textId="77777777" w:rsidR="000360F1" w:rsidRDefault="00B512BB" w:rsidP="007F35DF">
            <w:pPr>
              <w:spacing w:after="0" w:line="259" w:lineRule="auto"/>
              <w:ind w:left="0" w:right="0" w:firstLine="0"/>
              <w:jc w:val="left"/>
            </w:pPr>
            <w:r>
              <w:rPr>
                <w:b/>
                <w:sz w:val="20"/>
              </w:rPr>
              <w:t xml:space="preserve"> </w:t>
            </w:r>
          </w:p>
        </w:tc>
        <w:tc>
          <w:tcPr>
            <w:tcW w:w="4905" w:type="dxa"/>
            <w:tcBorders>
              <w:top w:val="single" w:sz="4" w:space="0" w:color="000000"/>
              <w:left w:val="single" w:sz="4" w:space="0" w:color="000000"/>
              <w:bottom w:val="single" w:sz="4" w:space="0" w:color="000000"/>
              <w:right w:val="single" w:sz="4" w:space="0" w:color="000000"/>
            </w:tcBorders>
          </w:tcPr>
          <w:p w14:paraId="4364A233" w14:textId="77777777" w:rsidR="000360F1" w:rsidRDefault="00B512BB" w:rsidP="007F35DF">
            <w:pPr>
              <w:spacing w:after="0" w:line="259" w:lineRule="auto"/>
              <w:ind w:left="4" w:right="0" w:firstLine="0"/>
              <w:jc w:val="left"/>
            </w:pPr>
            <w:r>
              <w:rPr>
                <w:sz w:val="20"/>
              </w:rPr>
              <w:t xml:space="preserve"> </w:t>
            </w:r>
          </w:p>
          <w:p w14:paraId="06AF5021" w14:textId="132AC565" w:rsidR="000360F1" w:rsidRDefault="00B512BB" w:rsidP="00122A9E">
            <w:pPr>
              <w:spacing w:after="120" w:line="240" w:lineRule="auto"/>
              <w:ind w:left="6" w:right="0" w:firstLine="0"/>
              <w:jc w:val="left"/>
            </w:pPr>
            <w:r>
              <w:rPr>
                <w:sz w:val="20"/>
              </w:rPr>
              <w:t xml:space="preserve">Limit all additional enquiries to those relating to </w:t>
            </w:r>
            <w:r w:rsidR="002B05FF">
              <w:rPr>
                <w:sz w:val="20"/>
              </w:rPr>
              <w:t>T</w:t>
            </w:r>
            <w:r>
              <w:rPr>
                <w:sz w:val="20"/>
              </w:rPr>
              <w:t>itle or required by your client.</w:t>
            </w:r>
            <w:r>
              <w:rPr>
                <w:sz w:val="20"/>
                <w:vertAlign w:val="superscript"/>
              </w:rPr>
              <w:footnoteReference w:id="16"/>
            </w:r>
            <w:r>
              <w:rPr>
                <w:sz w:val="20"/>
              </w:rPr>
              <w:t xml:space="preserve"> </w:t>
            </w:r>
          </w:p>
          <w:p w14:paraId="6B9ED4B4" w14:textId="21C0F3A6" w:rsidR="000360F1" w:rsidRDefault="00B512BB" w:rsidP="00122A9E">
            <w:pPr>
              <w:spacing w:after="120" w:line="240" w:lineRule="auto"/>
              <w:ind w:left="6" w:right="57" w:firstLine="0"/>
              <w:jc w:val="left"/>
            </w:pPr>
            <w:r>
              <w:rPr>
                <w:sz w:val="20"/>
              </w:rPr>
              <w:t xml:space="preserve">Seller’s lawyers may refuse to answer </w:t>
            </w:r>
            <w:r w:rsidR="00CB7B86">
              <w:rPr>
                <w:sz w:val="20"/>
              </w:rPr>
              <w:t>a</w:t>
            </w:r>
            <w:r>
              <w:rPr>
                <w:sz w:val="20"/>
              </w:rPr>
              <w:t xml:space="preserve">dditional </w:t>
            </w:r>
            <w:r w:rsidR="00CB7B86">
              <w:rPr>
                <w:sz w:val="20"/>
              </w:rPr>
              <w:t>e</w:t>
            </w:r>
            <w:r>
              <w:rPr>
                <w:sz w:val="20"/>
              </w:rPr>
              <w:t xml:space="preserve">nquiries which do not relate to the </w:t>
            </w:r>
            <w:r w:rsidR="002B05FF">
              <w:rPr>
                <w:sz w:val="20"/>
              </w:rPr>
              <w:t>T</w:t>
            </w:r>
            <w:r>
              <w:rPr>
                <w:sz w:val="20"/>
              </w:rPr>
              <w:t xml:space="preserve">itle, are not property specific or appear to be </w:t>
            </w:r>
            <w:r w:rsidR="002B05FF">
              <w:rPr>
                <w:sz w:val="20"/>
              </w:rPr>
              <w:t>‘</w:t>
            </w:r>
            <w:r>
              <w:rPr>
                <w:sz w:val="20"/>
              </w:rPr>
              <w:t>standard</w:t>
            </w:r>
            <w:r w:rsidR="002B05FF">
              <w:rPr>
                <w:sz w:val="20"/>
              </w:rPr>
              <w:t>’</w:t>
            </w:r>
            <w:r>
              <w:rPr>
                <w:sz w:val="20"/>
              </w:rPr>
              <w:t xml:space="preserve"> and have not been raised on the instructions of the buyer or lender. </w:t>
            </w:r>
          </w:p>
          <w:p w14:paraId="53ACBB00" w14:textId="024FDB29" w:rsidR="000360F1" w:rsidRDefault="00B512BB" w:rsidP="00122A9E">
            <w:pPr>
              <w:spacing w:after="120" w:line="240" w:lineRule="auto"/>
              <w:ind w:left="6" w:right="58" w:firstLine="0"/>
              <w:jc w:val="left"/>
              <w:rPr>
                <w:sz w:val="20"/>
              </w:rPr>
            </w:pPr>
            <w:r>
              <w:rPr>
                <w:sz w:val="20"/>
              </w:rPr>
              <w:t xml:space="preserve">Buyer’s lawyers should avoid requesting unnecessary documentation </w:t>
            </w:r>
            <w:r w:rsidR="00E16D3A">
              <w:rPr>
                <w:sz w:val="20"/>
              </w:rPr>
              <w:t>e.g.</w:t>
            </w:r>
            <w:r>
              <w:rPr>
                <w:sz w:val="20"/>
              </w:rPr>
              <w:t xml:space="preserve"> Blanket Tree Preservation orders, FENSA</w:t>
            </w:r>
            <w:r w:rsidR="00476ACC">
              <w:rPr>
                <w:sz w:val="20"/>
              </w:rPr>
              <w:t xml:space="preserve"> or CERTAS, Cavity Wall Insulation or Gas Safe Certificates</w:t>
            </w:r>
            <w:r>
              <w:rPr>
                <w:sz w:val="20"/>
              </w:rPr>
              <w:t xml:space="preserve"> revealed by the Local Search unless the nature of the transaction or the lender requires it.</w:t>
            </w:r>
            <w:r w:rsidR="003173A9">
              <w:rPr>
                <w:rStyle w:val="FootnoteReference"/>
                <w:sz w:val="20"/>
              </w:rPr>
              <w:footnoteReference w:id="17"/>
            </w:r>
          </w:p>
          <w:p w14:paraId="49F9651B" w14:textId="043E0B4B" w:rsidR="001F13EB" w:rsidRDefault="001F13EB" w:rsidP="00122A9E">
            <w:pPr>
              <w:spacing w:after="120" w:line="240" w:lineRule="auto"/>
              <w:ind w:left="6" w:right="58" w:firstLine="0"/>
              <w:jc w:val="left"/>
            </w:pPr>
            <w:r>
              <w:rPr>
                <w:sz w:val="20"/>
              </w:rPr>
              <w:t>Prior to raising an enquiry relating to an entry revealed by the Local Search, check whether sufficient information is available on the Local Authority’s portal.</w:t>
            </w:r>
          </w:p>
          <w:p w14:paraId="248ECC10" w14:textId="5B43FC3C" w:rsidR="000360F1" w:rsidRDefault="000360F1" w:rsidP="00CC4301">
            <w:pPr>
              <w:spacing w:after="0" w:line="259" w:lineRule="auto"/>
              <w:ind w:left="0" w:right="0" w:firstLine="0"/>
              <w:jc w:val="left"/>
            </w:pPr>
          </w:p>
        </w:tc>
      </w:tr>
      <w:tr w:rsidR="007F35DF" w14:paraId="5D2DC811" w14:textId="77777777" w:rsidTr="00CC4301">
        <w:tblPrEx>
          <w:tblCellMar>
            <w:top w:w="7" w:type="dxa"/>
            <w:left w:w="107" w:type="dxa"/>
            <w:right w:w="53" w:type="dxa"/>
          </w:tblCellMar>
        </w:tblPrEx>
        <w:trPr>
          <w:trHeight w:val="2079"/>
        </w:trPr>
        <w:tc>
          <w:tcPr>
            <w:tcW w:w="3355" w:type="dxa"/>
            <w:gridSpan w:val="3"/>
            <w:tcBorders>
              <w:top w:val="single" w:sz="4" w:space="0" w:color="000000"/>
              <w:left w:val="single" w:sz="4" w:space="0" w:color="000000"/>
              <w:bottom w:val="single" w:sz="4" w:space="0" w:color="000000"/>
              <w:right w:val="single" w:sz="4" w:space="0" w:color="000000"/>
            </w:tcBorders>
            <w:shd w:val="clear" w:color="auto" w:fill="EAD5EF"/>
          </w:tcPr>
          <w:p w14:paraId="0573C1FC" w14:textId="77777777" w:rsidR="000360F1" w:rsidRDefault="00B512BB" w:rsidP="007F35DF">
            <w:pPr>
              <w:spacing w:after="0" w:line="259" w:lineRule="auto"/>
              <w:ind w:left="0" w:right="0" w:firstLine="0"/>
              <w:jc w:val="left"/>
            </w:pPr>
            <w:r>
              <w:rPr>
                <w:b/>
                <w:sz w:val="20"/>
              </w:rPr>
              <w:t xml:space="preserve"> </w:t>
            </w:r>
          </w:p>
          <w:p w14:paraId="44E59885" w14:textId="77777777" w:rsidR="000360F1" w:rsidRDefault="00B512BB" w:rsidP="007F35DF">
            <w:pPr>
              <w:spacing w:after="0" w:line="259" w:lineRule="auto"/>
              <w:ind w:left="0" w:right="0" w:firstLine="0"/>
              <w:jc w:val="left"/>
            </w:pPr>
            <w:r>
              <w:rPr>
                <w:b/>
                <w:sz w:val="20"/>
              </w:rPr>
              <w:t xml:space="preserve">2.1 Additional Enquiries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18F418" w14:textId="77777777" w:rsidR="000360F1" w:rsidRDefault="00B512BB" w:rsidP="007F35DF">
            <w:pPr>
              <w:spacing w:after="0" w:line="259" w:lineRule="auto"/>
              <w:ind w:left="0" w:right="0" w:firstLine="0"/>
              <w:jc w:val="left"/>
            </w:pPr>
            <w:r>
              <w:rPr>
                <w:sz w:val="20"/>
              </w:rPr>
              <w:t xml:space="preserve"> </w:t>
            </w:r>
          </w:p>
          <w:p w14:paraId="53590506" w14:textId="77777777" w:rsidR="000360F1" w:rsidRDefault="00B512BB" w:rsidP="007F35DF">
            <w:pPr>
              <w:spacing w:after="0" w:line="259" w:lineRule="auto"/>
              <w:ind w:left="0" w:right="0" w:firstLine="0"/>
              <w:jc w:val="left"/>
            </w:pPr>
            <w:r>
              <w:rPr>
                <w:sz w:val="20"/>
              </w:rPr>
              <w:t xml:space="preserve">Providing Relevant </w:t>
            </w:r>
          </w:p>
          <w:p w14:paraId="19229BE3" w14:textId="77777777" w:rsidR="000360F1" w:rsidRDefault="00B512BB" w:rsidP="007F35DF">
            <w:pPr>
              <w:spacing w:after="0" w:line="259" w:lineRule="auto"/>
              <w:ind w:left="0" w:right="0" w:firstLine="0"/>
              <w:jc w:val="left"/>
            </w:pPr>
            <w:r>
              <w:rPr>
                <w:sz w:val="20"/>
              </w:rPr>
              <w:t xml:space="preserve">Documentation on </w:t>
            </w:r>
          </w:p>
          <w:p w14:paraId="5FC30BBC" w14:textId="77777777" w:rsidR="000360F1" w:rsidRDefault="00B512BB" w:rsidP="007F35DF">
            <w:pPr>
              <w:spacing w:after="0" w:line="259" w:lineRule="auto"/>
              <w:ind w:left="0" w:right="0" w:firstLine="0"/>
              <w:jc w:val="left"/>
            </w:pPr>
            <w:r>
              <w:rPr>
                <w:sz w:val="20"/>
              </w:rPr>
              <w:t xml:space="preserve">Request </w:t>
            </w:r>
          </w:p>
        </w:tc>
        <w:tc>
          <w:tcPr>
            <w:tcW w:w="4905" w:type="dxa"/>
            <w:tcBorders>
              <w:top w:val="single" w:sz="4" w:space="0" w:color="000000"/>
              <w:left w:val="single" w:sz="4" w:space="0" w:color="000000"/>
              <w:bottom w:val="single" w:sz="4" w:space="0" w:color="000000"/>
              <w:right w:val="single" w:sz="4" w:space="0" w:color="000000"/>
            </w:tcBorders>
          </w:tcPr>
          <w:p w14:paraId="58A614F2" w14:textId="77777777" w:rsidR="000360F1" w:rsidRDefault="00B512BB" w:rsidP="007F35DF">
            <w:pPr>
              <w:spacing w:after="0" w:line="259" w:lineRule="auto"/>
              <w:ind w:left="4" w:right="0" w:firstLine="0"/>
              <w:jc w:val="left"/>
            </w:pPr>
            <w:r>
              <w:rPr>
                <w:sz w:val="20"/>
              </w:rPr>
              <w:t xml:space="preserve"> </w:t>
            </w:r>
          </w:p>
          <w:p w14:paraId="767E6619" w14:textId="4C975BAE" w:rsidR="000360F1" w:rsidRDefault="00B512BB" w:rsidP="00122A9E">
            <w:pPr>
              <w:spacing w:after="18" w:line="238" w:lineRule="auto"/>
              <w:ind w:left="4" w:right="57" w:firstLine="0"/>
              <w:jc w:val="left"/>
            </w:pPr>
            <w:r>
              <w:rPr>
                <w:sz w:val="20"/>
              </w:rPr>
              <w:t>Assist the buyer’s lawyer wherever possible by advising the seller they are required to provide, at their own expense, documents which will be required by the buyer. For example, s.106 Planning Act Agreements of any age, Road and Sewer Adoption Agreements where a road or sewer is unadopted etc.</w:t>
            </w:r>
            <w:r>
              <w:rPr>
                <w:sz w:val="20"/>
                <w:vertAlign w:val="superscript"/>
              </w:rPr>
              <w:footnoteReference w:id="18"/>
            </w:r>
            <w:r>
              <w:rPr>
                <w:sz w:val="20"/>
              </w:rPr>
              <w:t xml:space="preserve"> </w:t>
            </w:r>
          </w:p>
          <w:p w14:paraId="6A1FB348" w14:textId="77777777" w:rsidR="000360F1" w:rsidRDefault="00B512BB" w:rsidP="007F35DF">
            <w:pPr>
              <w:spacing w:after="0" w:line="259" w:lineRule="auto"/>
              <w:ind w:left="4" w:right="0" w:firstLine="0"/>
              <w:jc w:val="left"/>
            </w:pPr>
            <w:r>
              <w:rPr>
                <w:b/>
                <w:sz w:val="20"/>
              </w:rPr>
              <w:t xml:space="preserve"> </w:t>
            </w:r>
          </w:p>
        </w:tc>
      </w:tr>
      <w:tr w:rsidR="007F35DF" w14:paraId="507DC05A" w14:textId="77777777" w:rsidTr="00CC4301">
        <w:tblPrEx>
          <w:tblCellMar>
            <w:top w:w="7" w:type="dxa"/>
            <w:left w:w="107" w:type="dxa"/>
            <w:right w:w="53" w:type="dxa"/>
          </w:tblCellMar>
        </w:tblPrEx>
        <w:trPr>
          <w:trHeight w:val="1621"/>
        </w:trPr>
        <w:tc>
          <w:tcPr>
            <w:tcW w:w="3355" w:type="dxa"/>
            <w:gridSpan w:val="3"/>
            <w:tcBorders>
              <w:top w:val="single" w:sz="4" w:space="0" w:color="000000"/>
              <w:left w:val="single" w:sz="4" w:space="0" w:color="000000"/>
              <w:bottom w:val="single" w:sz="4" w:space="0" w:color="000000"/>
              <w:right w:val="single" w:sz="4" w:space="0" w:color="000000"/>
            </w:tcBorders>
            <w:shd w:val="clear" w:color="auto" w:fill="EAD5EF"/>
          </w:tcPr>
          <w:p w14:paraId="40611821" w14:textId="77777777" w:rsidR="000360F1" w:rsidRDefault="00B512BB" w:rsidP="007F35DF">
            <w:pPr>
              <w:spacing w:after="0" w:line="259" w:lineRule="auto"/>
              <w:ind w:left="0" w:right="0" w:firstLine="0"/>
              <w:jc w:val="left"/>
            </w:pPr>
            <w:r>
              <w:rPr>
                <w:b/>
                <w:sz w:val="20"/>
              </w:rPr>
              <w:t xml:space="preserve"> </w:t>
            </w:r>
          </w:p>
          <w:p w14:paraId="67E78FAA" w14:textId="77777777" w:rsidR="000360F1" w:rsidRDefault="00B512BB" w:rsidP="007F35DF">
            <w:pPr>
              <w:spacing w:after="0" w:line="259" w:lineRule="auto"/>
              <w:ind w:left="0" w:right="0" w:firstLine="0"/>
              <w:jc w:val="left"/>
            </w:pPr>
            <w:r>
              <w:rPr>
                <w:b/>
                <w:sz w:val="20"/>
              </w:rPr>
              <w:t xml:space="preserve">2.2 Additional Enquiries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7F5941" w14:textId="77777777" w:rsidR="000360F1" w:rsidRDefault="00B512BB" w:rsidP="00122A9E">
            <w:pPr>
              <w:spacing w:after="0" w:line="259" w:lineRule="auto"/>
              <w:ind w:left="0" w:right="0" w:firstLine="0"/>
            </w:pPr>
            <w:r>
              <w:rPr>
                <w:sz w:val="20"/>
              </w:rPr>
              <w:t xml:space="preserve"> </w:t>
            </w:r>
          </w:p>
          <w:p w14:paraId="658FED0D" w14:textId="77777777" w:rsidR="000360F1" w:rsidRDefault="00B512BB" w:rsidP="00122A9E">
            <w:pPr>
              <w:spacing w:after="0" w:line="259" w:lineRule="auto"/>
              <w:ind w:left="0" w:right="0" w:firstLine="0"/>
              <w:jc w:val="left"/>
            </w:pPr>
            <w:r>
              <w:rPr>
                <w:sz w:val="20"/>
              </w:rPr>
              <w:t xml:space="preserve">Providing Full Replies to Enquiries  </w:t>
            </w:r>
          </w:p>
        </w:tc>
        <w:tc>
          <w:tcPr>
            <w:tcW w:w="4905" w:type="dxa"/>
            <w:tcBorders>
              <w:top w:val="single" w:sz="4" w:space="0" w:color="000000"/>
              <w:left w:val="single" w:sz="4" w:space="0" w:color="000000"/>
              <w:bottom w:val="single" w:sz="4" w:space="0" w:color="000000"/>
              <w:right w:val="single" w:sz="4" w:space="0" w:color="000000"/>
            </w:tcBorders>
          </w:tcPr>
          <w:p w14:paraId="5D85EEC7" w14:textId="77777777" w:rsidR="000360F1" w:rsidRDefault="00B512BB" w:rsidP="007F35DF">
            <w:pPr>
              <w:spacing w:after="0" w:line="259" w:lineRule="auto"/>
              <w:ind w:left="4" w:right="0" w:firstLine="0"/>
              <w:jc w:val="left"/>
            </w:pPr>
            <w:r>
              <w:rPr>
                <w:sz w:val="20"/>
              </w:rPr>
              <w:t xml:space="preserve"> </w:t>
            </w:r>
          </w:p>
          <w:p w14:paraId="76262713" w14:textId="07FE6987" w:rsidR="000360F1" w:rsidRDefault="00B512BB" w:rsidP="00122A9E">
            <w:pPr>
              <w:spacing w:after="24" w:line="237" w:lineRule="auto"/>
              <w:ind w:left="4" w:right="56" w:firstLine="0"/>
              <w:jc w:val="left"/>
            </w:pPr>
            <w:r>
              <w:rPr>
                <w:sz w:val="20"/>
              </w:rPr>
              <w:t>Review and augment replies given by the seller to ensure all appropriate information is given to the buyer’s lawyer at the earliest stage and to ensure the seller is not vulnerable to a later claim of mistake or negligence.</w:t>
            </w:r>
            <w:r>
              <w:rPr>
                <w:sz w:val="20"/>
                <w:vertAlign w:val="superscript"/>
              </w:rPr>
              <w:footnoteReference w:id="19"/>
            </w:r>
            <w:r>
              <w:rPr>
                <w:sz w:val="20"/>
              </w:rPr>
              <w:t xml:space="preserve"> </w:t>
            </w:r>
          </w:p>
          <w:p w14:paraId="30B5FB7D" w14:textId="77777777" w:rsidR="000360F1" w:rsidRDefault="00B512BB" w:rsidP="007F35DF">
            <w:pPr>
              <w:spacing w:after="0" w:line="259" w:lineRule="auto"/>
              <w:ind w:left="4" w:right="0" w:firstLine="0"/>
              <w:jc w:val="left"/>
            </w:pPr>
            <w:r>
              <w:rPr>
                <w:sz w:val="20"/>
              </w:rPr>
              <w:t xml:space="preserve"> </w:t>
            </w:r>
          </w:p>
        </w:tc>
      </w:tr>
      <w:tr w:rsidR="007F35DF" w14:paraId="4F0F71FA" w14:textId="77777777" w:rsidTr="00CC4301">
        <w:tblPrEx>
          <w:tblCellMar>
            <w:top w:w="7" w:type="dxa"/>
            <w:left w:w="107" w:type="dxa"/>
            <w:right w:w="53" w:type="dxa"/>
          </w:tblCellMar>
        </w:tblPrEx>
        <w:trPr>
          <w:trHeight w:val="2080"/>
        </w:trPr>
        <w:tc>
          <w:tcPr>
            <w:tcW w:w="3355" w:type="dxa"/>
            <w:gridSpan w:val="3"/>
            <w:tcBorders>
              <w:top w:val="single" w:sz="4" w:space="0" w:color="000000"/>
              <w:left w:val="single" w:sz="4" w:space="0" w:color="000000"/>
              <w:bottom w:val="single" w:sz="4" w:space="0" w:color="000000"/>
              <w:right w:val="single" w:sz="4" w:space="0" w:color="000000"/>
            </w:tcBorders>
            <w:shd w:val="clear" w:color="auto" w:fill="EAD5EF"/>
          </w:tcPr>
          <w:p w14:paraId="034923A7" w14:textId="77777777" w:rsidR="000360F1" w:rsidRDefault="00B512BB" w:rsidP="007F35DF">
            <w:pPr>
              <w:spacing w:after="0" w:line="259" w:lineRule="auto"/>
              <w:ind w:left="0" w:right="0" w:firstLine="0"/>
              <w:jc w:val="left"/>
            </w:pPr>
            <w:r>
              <w:rPr>
                <w:b/>
                <w:sz w:val="20"/>
              </w:rPr>
              <w:t xml:space="preserve"> </w:t>
            </w:r>
          </w:p>
          <w:p w14:paraId="27E960D0" w14:textId="77777777" w:rsidR="000360F1" w:rsidRDefault="00B512BB" w:rsidP="007F35DF">
            <w:pPr>
              <w:spacing w:after="0" w:line="259" w:lineRule="auto"/>
              <w:ind w:left="0" w:right="0" w:firstLine="0"/>
              <w:jc w:val="left"/>
            </w:pPr>
            <w:r>
              <w:rPr>
                <w:b/>
                <w:sz w:val="20"/>
              </w:rPr>
              <w:t xml:space="preserve">2.3 Additional Enquiries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33C64F" w14:textId="77777777" w:rsidR="000360F1" w:rsidRDefault="00B512BB" w:rsidP="00122A9E">
            <w:pPr>
              <w:spacing w:after="0" w:line="259" w:lineRule="auto"/>
              <w:ind w:left="0" w:right="0" w:firstLine="0"/>
            </w:pPr>
            <w:r>
              <w:rPr>
                <w:sz w:val="20"/>
              </w:rPr>
              <w:t xml:space="preserve"> </w:t>
            </w:r>
          </w:p>
          <w:p w14:paraId="3016856B" w14:textId="5B5F2378" w:rsidR="000360F1" w:rsidRDefault="00B512BB" w:rsidP="00122A9E">
            <w:pPr>
              <w:spacing w:after="0" w:line="259" w:lineRule="auto"/>
              <w:ind w:left="0" w:right="0" w:firstLine="0"/>
            </w:pPr>
            <w:r>
              <w:rPr>
                <w:sz w:val="20"/>
              </w:rPr>
              <w:t>Avoiding Leasehold</w:t>
            </w:r>
            <w:r w:rsidR="005D3E8B">
              <w:rPr>
                <w:sz w:val="20"/>
              </w:rPr>
              <w:t>/Managed Freehold</w:t>
            </w:r>
            <w:r>
              <w:rPr>
                <w:sz w:val="20"/>
              </w:rPr>
              <w:t xml:space="preserve"> Delays </w:t>
            </w:r>
          </w:p>
        </w:tc>
        <w:tc>
          <w:tcPr>
            <w:tcW w:w="4905" w:type="dxa"/>
            <w:tcBorders>
              <w:top w:val="single" w:sz="4" w:space="0" w:color="000000"/>
              <w:left w:val="single" w:sz="4" w:space="0" w:color="000000"/>
              <w:bottom w:val="single" w:sz="4" w:space="0" w:color="000000"/>
              <w:right w:val="single" w:sz="4" w:space="0" w:color="000000"/>
            </w:tcBorders>
          </w:tcPr>
          <w:p w14:paraId="6B0926E5" w14:textId="77777777" w:rsidR="000360F1" w:rsidRDefault="00B512BB" w:rsidP="007F35DF">
            <w:pPr>
              <w:spacing w:after="0" w:line="259" w:lineRule="auto"/>
              <w:ind w:left="4" w:right="0" w:firstLine="0"/>
              <w:jc w:val="left"/>
            </w:pPr>
            <w:r>
              <w:rPr>
                <w:sz w:val="20"/>
              </w:rPr>
              <w:t xml:space="preserve"> </w:t>
            </w:r>
          </w:p>
          <w:p w14:paraId="24FCC98C" w14:textId="05317EB7" w:rsidR="000360F1" w:rsidRDefault="00B512BB" w:rsidP="00505322">
            <w:pPr>
              <w:spacing w:after="0" w:line="240" w:lineRule="auto"/>
              <w:ind w:left="6" w:right="57" w:firstLine="0"/>
              <w:jc w:val="left"/>
              <w:rPr>
                <w:sz w:val="20"/>
              </w:rPr>
            </w:pPr>
            <w:r w:rsidRPr="005D3E8B">
              <w:rPr>
                <w:sz w:val="20"/>
                <w:szCs w:val="20"/>
              </w:rPr>
              <w:t>Use</w:t>
            </w:r>
            <w:r w:rsidR="00CB7B86" w:rsidRPr="005D3E8B">
              <w:rPr>
                <w:sz w:val="20"/>
                <w:szCs w:val="20"/>
              </w:rPr>
              <w:t xml:space="preserve"> the </w:t>
            </w:r>
            <w:r w:rsidR="00F21D63" w:rsidRPr="005D3E8B">
              <w:rPr>
                <w:sz w:val="20"/>
                <w:szCs w:val="20"/>
              </w:rPr>
              <w:t>up-to-date</w:t>
            </w:r>
            <w:r w:rsidR="00CB7B86" w:rsidRPr="005D3E8B">
              <w:rPr>
                <w:sz w:val="20"/>
                <w:szCs w:val="20"/>
              </w:rPr>
              <w:t xml:space="preserve"> version of the</w:t>
            </w:r>
            <w:r w:rsidRPr="005D3E8B">
              <w:rPr>
                <w:sz w:val="20"/>
                <w:szCs w:val="20"/>
              </w:rPr>
              <w:t xml:space="preserve"> Leasehold Property Enquiries (LPE1)</w:t>
            </w:r>
            <w:r w:rsidR="005D3E8B" w:rsidRPr="00122A9E">
              <w:rPr>
                <w:rFonts w:eastAsiaTheme="minorEastAsia"/>
                <w:sz w:val="20"/>
                <w:szCs w:val="20"/>
              </w:rPr>
              <w:t>/Managed Freehold Enquiries (FME1)</w:t>
            </w:r>
            <w:r w:rsidR="005D3E8B">
              <w:rPr>
                <w:rFonts w:eastAsiaTheme="minorEastAsia"/>
                <w:sz w:val="20"/>
                <w:szCs w:val="20"/>
              </w:rPr>
              <w:t xml:space="preserve"> </w:t>
            </w:r>
            <w:r w:rsidRPr="005D3E8B">
              <w:rPr>
                <w:sz w:val="20"/>
                <w:szCs w:val="20"/>
              </w:rPr>
              <w:t>which should be sent to</w:t>
            </w:r>
            <w:r>
              <w:rPr>
                <w:sz w:val="20"/>
              </w:rPr>
              <w:t xml:space="preserve"> all relevant parties involved in the </w:t>
            </w:r>
            <w:r w:rsidR="005D3E8B" w:rsidRPr="005D3E8B">
              <w:rPr>
                <w:sz w:val="20"/>
                <w:szCs w:val="20"/>
              </w:rPr>
              <w:t>Lease</w:t>
            </w:r>
            <w:r w:rsidR="00505322">
              <w:rPr>
                <w:sz w:val="20"/>
                <w:szCs w:val="20"/>
              </w:rPr>
              <w:t xml:space="preserve"> or</w:t>
            </w:r>
            <w:r w:rsidR="005D3E8B" w:rsidRPr="005D3E8B">
              <w:rPr>
                <w:sz w:val="20"/>
                <w:szCs w:val="20"/>
              </w:rPr>
              <w:t xml:space="preserve"> </w:t>
            </w:r>
            <w:r w:rsidR="005D3E8B">
              <w:rPr>
                <w:sz w:val="20"/>
              </w:rPr>
              <w:t xml:space="preserve">administration </w:t>
            </w:r>
            <w:r w:rsidR="005D3E8B" w:rsidRPr="00122A9E">
              <w:rPr>
                <w:rFonts w:eastAsiaTheme="minorEastAsia"/>
                <w:sz w:val="20"/>
                <w:szCs w:val="20"/>
              </w:rPr>
              <w:t xml:space="preserve">or </w:t>
            </w:r>
            <w:r w:rsidR="00505322">
              <w:rPr>
                <w:rFonts w:eastAsiaTheme="minorEastAsia"/>
                <w:sz w:val="20"/>
                <w:szCs w:val="20"/>
              </w:rPr>
              <w:t xml:space="preserve">Estate </w:t>
            </w:r>
            <w:r w:rsidR="005D3E8B" w:rsidRPr="00122A9E">
              <w:rPr>
                <w:rFonts w:eastAsiaTheme="minorEastAsia"/>
                <w:sz w:val="20"/>
                <w:szCs w:val="20"/>
              </w:rPr>
              <w:t>maintenance of shared amenities</w:t>
            </w:r>
            <w:r w:rsidR="005D3E8B">
              <w:rPr>
                <w:rFonts w:eastAsiaTheme="minorEastAsia"/>
                <w:sz w:val="20"/>
                <w:szCs w:val="20"/>
              </w:rPr>
              <w:t xml:space="preserve"> </w:t>
            </w:r>
            <w:r>
              <w:rPr>
                <w:sz w:val="20"/>
              </w:rPr>
              <w:t>at the earliest opportunity</w:t>
            </w:r>
            <w:r w:rsidR="002B05FF">
              <w:rPr>
                <w:sz w:val="20"/>
              </w:rPr>
              <w:t>,</w:t>
            </w:r>
            <w:r w:rsidR="00FE4484">
              <w:rPr>
                <w:sz w:val="20"/>
              </w:rPr>
              <w:t xml:space="preserve"> together with a copy of the </w:t>
            </w:r>
            <w:r w:rsidR="002B05FF">
              <w:rPr>
                <w:sz w:val="20"/>
              </w:rPr>
              <w:t>T</w:t>
            </w:r>
            <w:r w:rsidR="00FE4484">
              <w:rPr>
                <w:sz w:val="20"/>
              </w:rPr>
              <w:t>itle to assist the lease administrator</w:t>
            </w:r>
            <w:r>
              <w:rPr>
                <w:sz w:val="20"/>
              </w:rPr>
              <w:t>.</w:t>
            </w:r>
          </w:p>
          <w:p w14:paraId="1FD1A6C2" w14:textId="77777777" w:rsidR="00505322" w:rsidRDefault="00505322" w:rsidP="00505322">
            <w:pPr>
              <w:spacing w:after="0" w:line="240" w:lineRule="auto"/>
              <w:ind w:left="6" w:right="57" w:firstLine="0"/>
              <w:jc w:val="left"/>
            </w:pPr>
          </w:p>
          <w:p w14:paraId="193C4E14" w14:textId="0094CA2B" w:rsidR="002935EF" w:rsidRDefault="00B512BB" w:rsidP="00122A9E">
            <w:pPr>
              <w:spacing w:after="120" w:line="240" w:lineRule="auto"/>
              <w:ind w:left="6" w:right="0" w:firstLine="0"/>
              <w:jc w:val="left"/>
              <w:rPr>
                <w:sz w:val="20"/>
              </w:rPr>
            </w:pPr>
            <w:r>
              <w:rPr>
                <w:sz w:val="20"/>
              </w:rPr>
              <w:t>Ring the contact given for the Lease</w:t>
            </w:r>
            <w:r w:rsidR="00505322">
              <w:rPr>
                <w:sz w:val="20"/>
              </w:rPr>
              <w:t>/Estate</w:t>
            </w:r>
            <w:r>
              <w:rPr>
                <w:sz w:val="20"/>
              </w:rPr>
              <w:t xml:space="preserve"> Administrator at the earliest opportunity to establish their requirements and to check whether there are other</w:t>
            </w:r>
            <w:r w:rsidR="002935EF">
              <w:rPr>
                <w:sz w:val="20"/>
              </w:rPr>
              <w:t xml:space="preserve"> parties who will also need to provide information, </w:t>
            </w:r>
            <w:r w:rsidR="00E16D3A">
              <w:rPr>
                <w:sz w:val="20"/>
              </w:rPr>
              <w:t>e.g.</w:t>
            </w:r>
            <w:r w:rsidR="002935EF">
              <w:rPr>
                <w:sz w:val="20"/>
              </w:rPr>
              <w:t xml:space="preserve"> a Resident’s Association. </w:t>
            </w:r>
            <w:r w:rsidR="0071578D">
              <w:rPr>
                <w:sz w:val="20"/>
              </w:rPr>
              <w:t xml:space="preserve">Remind them </w:t>
            </w:r>
            <w:r w:rsidR="002B05FF">
              <w:rPr>
                <w:sz w:val="20"/>
              </w:rPr>
              <w:t>of</w:t>
            </w:r>
            <w:r w:rsidR="0071578D">
              <w:rPr>
                <w:sz w:val="20"/>
              </w:rPr>
              <w:t xml:space="preserve"> the </w:t>
            </w:r>
            <w:r w:rsidR="002B05FF">
              <w:rPr>
                <w:sz w:val="20"/>
              </w:rPr>
              <w:t>G</w:t>
            </w:r>
            <w:r w:rsidR="0071578D">
              <w:rPr>
                <w:sz w:val="20"/>
              </w:rPr>
              <w:t>overnment</w:t>
            </w:r>
            <w:r w:rsidR="004E5A6B">
              <w:rPr>
                <w:sz w:val="20"/>
              </w:rPr>
              <w:t>’s expectation</w:t>
            </w:r>
            <w:r w:rsidR="004E5A6B">
              <w:rPr>
                <w:rStyle w:val="FootnoteReference"/>
                <w:sz w:val="20"/>
              </w:rPr>
              <w:footnoteReference w:id="20"/>
            </w:r>
            <w:r w:rsidR="004E5A6B">
              <w:rPr>
                <w:sz w:val="20"/>
              </w:rPr>
              <w:t xml:space="preserve"> </w:t>
            </w:r>
            <w:r w:rsidR="0035018D">
              <w:rPr>
                <w:sz w:val="20"/>
              </w:rPr>
              <w:t>that £200 plus VAT is the maximum reasonable fee for</w:t>
            </w:r>
            <w:r w:rsidR="0071578D">
              <w:rPr>
                <w:sz w:val="20"/>
              </w:rPr>
              <w:t xml:space="preserve"> provid</w:t>
            </w:r>
            <w:r w:rsidR="0035018D">
              <w:rPr>
                <w:sz w:val="20"/>
              </w:rPr>
              <w:t>ing</w:t>
            </w:r>
            <w:r w:rsidR="0071578D">
              <w:rPr>
                <w:sz w:val="20"/>
              </w:rPr>
              <w:t xml:space="preserve"> the LPE1 information </w:t>
            </w:r>
            <w:r w:rsidR="0035018D">
              <w:rPr>
                <w:sz w:val="20"/>
              </w:rPr>
              <w:t xml:space="preserve">which should be provided </w:t>
            </w:r>
            <w:r w:rsidR="0071578D">
              <w:rPr>
                <w:sz w:val="20"/>
              </w:rPr>
              <w:t>within 15 days</w:t>
            </w:r>
            <w:r w:rsidR="0035018D">
              <w:rPr>
                <w:sz w:val="20"/>
              </w:rPr>
              <w:t>.</w:t>
            </w:r>
          </w:p>
          <w:p w14:paraId="01C44D09" w14:textId="671C73C3" w:rsidR="00CB7B86" w:rsidRPr="007F35DF" w:rsidRDefault="00CB7B86" w:rsidP="00122A9E">
            <w:pPr>
              <w:spacing w:after="120" w:line="240" w:lineRule="auto"/>
              <w:ind w:left="6" w:right="0" w:firstLine="0"/>
              <w:jc w:val="left"/>
              <w:rPr>
                <w:sz w:val="20"/>
                <w:szCs w:val="20"/>
              </w:rPr>
            </w:pPr>
            <w:r>
              <w:rPr>
                <w:sz w:val="20"/>
              </w:rPr>
              <w:t xml:space="preserve">Where the property is in a building with </w:t>
            </w:r>
            <w:r w:rsidR="00E16D3A">
              <w:rPr>
                <w:sz w:val="20"/>
              </w:rPr>
              <w:t>five</w:t>
            </w:r>
            <w:r>
              <w:rPr>
                <w:sz w:val="20"/>
              </w:rPr>
              <w:t xml:space="preserve"> storeys or above, check the remediation status under the </w:t>
            </w:r>
            <w:r w:rsidRPr="007F35DF">
              <w:rPr>
                <w:sz w:val="20"/>
                <w:szCs w:val="20"/>
              </w:rPr>
              <w:t xml:space="preserve">Building Safety Act 2022. NB Part 5 of the Act does not apply to properties in Wales so there is no need to ask for confirmation of the </w:t>
            </w:r>
            <w:r w:rsidR="007F35DF" w:rsidRPr="00122A9E">
              <w:rPr>
                <w:rFonts w:eastAsiaTheme="minorEastAsia"/>
                <w:sz w:val="20"/>
                <w:szCs w:val="20"/>
              </w:rPr>
              <w:t>Lessee's</w:t>
            </w:r>
            <w:r w:rsidR="007F35DF" w:rsidRPr="007F35DF" w:rsidDel="007F35DF">
              <w:rPr>
                <w:sz w:val="20"/>
                <w:szCs w:val="20"/>
              </w:rPr>
              <w:t xml:space="preserve"> </w:t>
            </w:r>
            <w:r w:rsidRPr="007F35DF">
              <w:rPr>
                <w:sz w:val="20"/>
                <w:szCs w:val="20"/>
              </w:rPr>
              <w:t>qualification under the Act.</w:t>
            </w:r>
          </w:p>
          <w:p w14:paraId="398C1BB3" w14:textId="77777777" w:rsidR="000360F1" w:rsidRDefault="00B512BB" w:rsidP="00122A9E">
            <w:pPr>
              <w:spacing w:after="0" w:line="259" w:lineRule="auto"/>
              <w:ind w:left="4" w:right="56" w:firstLine="0"/>
              <w:jc w:val="left"/>
            </w:pPr>
            <w:r>
              <w:rPr>
                <w:sz w:val="20"/>
              </w:rPr>
              <w:t xml:space="preserve"> </w:t>
            </w:r>
          </w:p>
        </w:tc>
      </w:tr>
      <w:tr w:rsidR="007F35DF" w14:paraId="182742A3" w14:textId="77777777" w:rsidTr="00CC4301">
        <w:tblPrEx>
          <w:tblCellMar>
            <w:top w:w="7" w:type="dxa"/>
            <w:left w:w="107" w:type="dxa"/>
            <w:right w:w="53" w:type="dxa"/>
          </w:tblCellMar>
        </w:tblPrEx>
        <w:trPr>
          <w:trHeight w:val="3001"/>
        </w:trPr>
        <w:tc>
          <w:tcPr>
            <w:tcW w:w="3355" w:type="dxa"/>
            <w:gridSpan w:val="3"/>
            <w:tcBorders>
              <w:top w:val="single" w:sz="4" w:space="0" w:color="000000"/>
              <w:left w:val="single" w:sz="4" w:space="0" w:color="000000"/>
              <w:bottom w:val="single" w:sz="4" w:space="0" w:color="000000"/>
              <w:right w:val="single" w:sz="4" w:space="0" w:color="000000"/>
            </w:tcBorders>
            <w:shd w:val="clear" w:color="auto" w:fill="EAD5EF"/>
          </w:tcPr>
          <w:p w14:paraId="6659AEC4" w14:textId="77777777" w:rsidR="000360F1" w:rsidRDefault="00B512BB" w:rsidP="007F35DF">
            <w:pPr>
              <w:spacing w:after="0" w:line="259" w:lineRule="auto"/>
              <w:ind w:left="0" w:right="0" w:firstLine="0"/>
              <w:jc w:val="left"/>
            </w:pPr>
            <w:r>
              <w:rPr>
                <w:b/>
                <w:sz w:val="20"/>
              </w:rPr>
              <w:t xml:space="preserve"> </w:t>
            </w:r>
          </w:p>
          <w:p w14:paraId="19927DBB" w14:textId="77777777" w:rsidR="000360F1" w:rsidRDefault="00B512BB" w:rsidP="007F35DF">
            <w:pPr>
              <w:spacing w:after="0" w:line="259" w:lineRule="auto"/>
              <w:ind w:left="0" w:right="0" w:firstLine="0"/>
              <w:jc w:val="left"/>
            </w:pPr>
            <w:r>
              <w:rPr>
                <w:b/>
                <w:sz w:val="20"/>
              </w:rPr>
              <w:t xml:space="preserve">2.4 Additional Enquiries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EE3152" w14:textId="77777777" w:rsidR="000360F1" w:rsidRDefault="00B512BB" w:rsidP="00122A9E">
            <w:pPr>
              <w:spacing w:after="0" w:line="259" w:lineRule="auto"/>
              <w:ind w:left="0" w:right="0" w:firstLine="0"/>
            </w:pPr>
            <w:r>
              <w:rPr>
                <w:sz w:val="20"/>
              </w:rPr>
              <w:t xml:space="preserve"> </w:t>
            </w:r>
          </w:p>
          <w:p w14:paraId="4D48668F" w14:textId="5F39EC9D" w:rsidR="000360F1" w:rsidRDefault="00B512BB" w:rsidP="007F35DF">
            <w:pPr>
              <w:spacing w:after="0" w:line="259" w:lineRule="auto"/>
              <w:ind w:left="0" w:right="0" w:firstLine="0"/>
              <w:jc w:val="left"/>
            </w:pPr>
            <w:r>
              <w:rPr>
                <w:sz w:val="20"/>
              </w:rPr>
              <w:t xml:space="preserve">Preventing Last </w:t>
            </w:r>
            <w:r w:rsidR="005D3E8B">
              <w:rPr>
                <w:sz w:val="20"/>
              </w:rPr>
              <w:br/>
            </w:r>
            <w:r>
              <w:rPr>
                <w:sz w:val="20"/>
              </w:rPr>
              <w:t xml:space="preserve">Minute Enquiries </w:t>
            </w:r>
          </w:p>
        </w:tc>
        <w:tc>
          <w:tcPr>
            <w:tcW w:w="4905" w:type="dxa"/>
            <w:tcBorders>
              <w:top w:val="single" w:sz="4" w:space="0" w:color="000000"/>
              <w:left w:val="single" w:sz="4" w:space="0" w:color="000000"/>
              <w:bottom w:val="single" w:sz="4" w:space="0" w:color="000000"/>
              <w:right w:val="single" w:sz="4" w:space="0" w:color="000000"/>
            </w:tcBorders>
          </w:tcPr>
          <w:p w14:paraId="6D934800" w14:textId="77777777" w:rsidR="000360F1" w:rsidRDefault="00B512BB" w:rsidP="007F35DF">
            <w:pPr>
              <w:spacing w:after="0" w:line="259" w:lineRule="auto"/>
              <w:ind w:left="4" w:right="0" w:firstLine="0"/>
              <w:jc w:val="left"/>
            </w:pPr>
            <w:r>
              <w:rPr>
                <w:sz w:val="20"/>
              </w:rPr>
              <w:t xml:space="preserve"> </w:t>
            </w:r>
          </w:p>
          <w:p w14:paraId="463E0FDA" w14:textId="7385EFC6" w:rsidR="000360F1" w:rsidRDefault="00B512BB" w:rsidP="002B05FF">
            <w:pPr>
              <w:spacing w:after="120" w:line="240" w:lineRule="auto"/>
              <w:ind w:left="6" w:right="0" w:firstLine="0"/>
              <w:jc w:val="left"/>
            </w:pPr>
            <w:r>
              <w:rPr>
                <w:sz w:val="20"/>
              </w:rPr>
              <w:t>Raise enquiries at the earliest possible stage</w:t>
            </w:r>
            <w:r w:rsidR="002B05FF">
              <w:rPr>
                <w:sz w:val="20"/>
              </w:rPr>
              <w:t xml:space="preserve"> </w:t>
            </w:r>
            <w:r>
              <w:rPr>
                <w:sz w:val="20"/>
              </w:rPr>
              <w:t xml:space="preserve">to prevent delays to exchange. </w:t>
            </w:r>
          </w:p>
          <w:p w14:paraId="63BDD2FA" w14:textId="57B5441F" w:rsidR="000360F1" w:rsidRDefault="00B512BB" w:rsidP="002B05FF">
            <w:pPr>
              <w:spacing w:after="120" w:line="240" w:lineRule="auto"/>
              <w:ind w:left="6" w:right="59" w:firstLine="0"/>
              <w:jc w:val="left"/>
            </w:pPr>
            <w:r>
              <w:rPr>
                <w:sz w:val="20"/>
              </w:rPr>
              <w:t>Issues arise where activities are delegated to inexperienced staff. Whil</w:t>
            </w:r>
            <w:r w:rsidR="00E16D3A">
              <w:rPr>
                <w:sz w:val="20"/>
              </w:rPr>
              <w:t>e</w:t>
            </w:r>
            <w:r>
              <w:rPr>
                <w:sz w:val="20"/>
              </w:rPr>
              <w:t xml:space="preserve"> the delegation of work is the commercial decision of the member, delays can be avoided by implementing a </w:t>
            </w:r>
            <w:r w:rsidR="00F21D63">
              <w:rPr>
                <w:sz w:val="20"/>
              </w:rPr>
              <w:t>supervisor</w:t>
            </w:r>
            <w:r>
              <w:rPr>
                <w:sz w:val="20"/>
              </w:rPr>
              <w:t xml:space="preserve"> review of the files at regular stages of the transaction to identify issues that may require additional enquiry at the earliest stage possible, rather than on the final review prior to exchange. </w:t>
            </w:r>
          </w:p>
          <w:p w14:paraId="0453A681" w14:textId="77777777" w:rsidR="000360F1" w:rsidRDefault="00B512BB" w:rsidP="007F35DF">
            <w:pPr>
              <w:spacing w:after="0" w:line="259" w:lineRule="auto"/>
              <w:ind w:left="4" w:right="0" w:firstLine="0"/>
              <w:jc w:val="left"/>
            </w:pPr>
            <w:r>
              <w:rPr>
                <w:sz w:val="20"/>
              </w:rPr>
              <w:t xml:space="preserve"> </w:t>
            </w:r>
          </w:p>
        </w:tc>
      </w:tr>
      <w:tr w:rsidR="007F35DF" w14:paraId="014E1C9C" w14:textId="77777777" w:rsidTr="00CC4301">
        <w:tblPrEx>
          <w:tblCellMar>
            <w:top w:w="7" w:type="dxa"/>
            <w:left w:w="107" w:type="dxa"/>
            <w:right w:w="53" w:type="dxa"/>
          </w:tblCellMar>
        </w:tblPrEx>
        <w:trPr>
          <w:trHeight w:val="1077"/>
        </w:trPr>
        <w:tc>
          <w:tcPr>
            <w:tcW w:w="3355" w:type="dxa"/>
            <w:gridSpan w:val="3"/>
            <w:tcBorders>
              <w:top w:val="single" w:sz="4" w:space="0" w:color="000000"/>
              <w:left w:val="single" w:sz="4" w:space="0" w:color="000000"/>
              <w:bottom w:val="single" w:sz="4" w:space="0" w:color="000000"/>
              <w:right w:val="single" w:sz="4" w:space="0" w:color="000000"/>
            </w:tcBorders>
            <w:shd w:val="clear" w:color="auto" w:fill="EAD5EF"/>
          </w:tcPr>
          <w:p w14:paraId="3D43F227" w14:textId="77777777" w:rsidR="00CB0478" w:rsidRDefault="00CB0478" w:rsidP="007F35DF">
            <w:pPr>
              <w:spacing w:after="0" w:line="259" w:lineRule="auto"/>
              <w:ind w:left="0" w:right="0" w:firstLine="0"/>
              <w:jc w:val="left"/>
              <w:rPr>
                <w:b/>
                <w:sz w:val="20"/>
              </w:rPr>
            </w:pPr>
          </w:p>
          <w:p w14:paraId="2052C1DE" w14:textId="07E026FA" w:rsidR="00447612" w:rsidRDefault="00447612" w:rsidP="007F35DF">
            <w:pPr>
              <w:spacing w:after="0" w:line="259" w:lineRule="auto"/>
              <w:ind w:left="0" w:right="0" w:firstLine="0"/>
              <w:jc w:val="left"/>
              <w:rPr>
                <w:b/>
                <w:sz w:val="20"/>
              </w:rPr>
            </w:pPr>
            <w:r>
              <w:rPr>
                <w:b/>
                <w:sz w:val="20"/>
              </w:rPr>
              <w:t>2.5 Additional Enquiries</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9E0BA7" w14:textId="77777777" w:rsidR="00CB0478" w:rsidRDefault="00CB0478" w:rsidP="00122A9E">
            <w:pPr>
              <w:spacing w:after="0" w:line="259" w:lineRule="auto"/>
              <w:ind w:left="0" w:right="0" w:firstLine="0"/>
              <w:rPr>
                <w:sz w:val="20"/>
              </w:rPr>
            </w:pPr>
          </w:p>
          <w:p w14:paraId="21E412A7" w14:textId="224C1A6A" w:rsidR="00447612" w:rsidRDefault="00447612" w:rsidP="007F35DF">
            <w:pPr>
              <w:spacing w:after="0" w:line="259" w:lineRule="auto"/>
              <w:ind w:left="0" w:right="0" w:firstLine="0"/>
              <w:jc w:val="left"/>
              <w:rPr>
                <w:sz w:val="20"/>
              </w:rPr>
            </w:pPr>
            <w:r>
              <w:rPr>
                <w:sz w:val="20"/>
              </w:rPr>
              <w:t>Proportionality of retentions</w:t>
            </w:r>
          </w:p>
        </w:tc>
        <w:tc>
          <w:tcPr>
            <w:tcW w:w="4905" w:type="dxa"/>
            <w:tcBorders>
              <w:top w:val="single" w:sz="4" w:space="0" w:color="000000"/>
              <w:left w:val="single" w:sz="4" w:space="0" w:color="000000"/>
              <w:bottom w:val="single" w:sz="4" w:space="0" w:color="000000"/>
              <w:right w:val="single" w:sz="4" w:space="0" w:color="000000"/>
            </w:tcBorders>
          </w:tcPr>
          <w:p w14:paraId="0031AA03" w14:textId="77777777" w:rsidR="00CB0478" w:rsidRDefault="00CB0478" w:rsidP="007F35DF">
            <w:pPr>
              <w:spacing w:after="0" w:line="259" w:lineRule="auto"/>
              <w:ind w:left="4" w:right="0" w:firstLine="0"/>
              <w:jc w:val="left"/>
              <w:rPr>
                <w:sz w:val="20"/>
              </w:rPr>
            </w:pPr>
          </w:p>
          <w:p w14:paraId="046A5417" w14:textId="4BBB6936" w:rsidR="00447612" w:rsidRDefault="00447612" w:rsidP="007F35DF">
            <w:pPr>
              <w:spacing w:after="0" w:line="259" w:lineRule="auto"/>
              <w:ind w:left="4" w:right="0" w:firstLine="0"/>
              <w:jc w:val="left"/>
              <w:rPr>
                <w:sz w:val="20"/>
              </w:rPr>
            </w:pPr>
            <w:r>
              <w:rPr>
                <w:sz w:val="20"/>
              </w:rPr>
              <w:t>Having advised the client appropriately</w:t>
            </w:r>
            <w:r w:rsidR="00E16D3A">
              <w:rPr>
                <w:sz w:val="20"/>
              </w:rPr>
              <w:t>,</w:t>
            </w:r>
            <w:r>
              <w:rPr>
                <w:sz w:val="20"/>
              </w:rPr>
              <w:t xml:space="preserve"> rely upon the provisions within the Standard Conditions of Sale rather than requesting retentions of less than £200.</w:t>
            </w:r>
          </w:p>
          <w:p w14:paraId="45AC6291" w14:textId="3A1985E0" w:rsidR="00CB0478" w:rsidRDefault="00CB0478" w:rsidP="007F35DF">
            <w:pPr>
              <w:spacing w:after="0" w:line="259" w:lineRule="auto"/>
              <w:ind w:left="4" w:right="0" w:firstLine="0"/>
              <w:jc w:val="left"/>
              <w:rPr>
                <w:sz w:val="20"/>
              </w:rPr>
            </w:pPr>
          </w:p>
        </w:tc>
      </w:tr>
      <w:tr w:rsidR="007F35DF" w14:paraId="5A83DC9F" w14:textId="77777777" w:rsidTr="00CC4301">
        <w:tblPrEx>
          <w:tblCellMar>
            <w:top w:w="7" w:type="dxa"/>
            <w:left w:w="107" w:type="dxa"/>
            <w:right w:w="53" w:type="dxa"/>
          </w:tblCellMar>
        </w:tblPrEx>
        <w:trPr>
          <w:trHeight w:val="1390"/>
        </w:trPr>
        <w:tc>
          <w:tcPr>
            <w:tcW w:w="3355" w:type="dxa"/>
            <w:gridSpan w:val="3"/>
            <w:tcBorders>
              <w:top w:val="single" w:sz="4" w:space="0" w:color="000000"/>
              <w:left w:val="single" w:sz="4" w:space="0" w:color="000000"/>
              <w:bottom w:val="single" w:sz="4" w:space="0" w:color="000000"/>
              <w:right w:val="single" w:sz="4" w:space="0" w:color="000000"/>
            </w:tcBorders>
            <w:shd w:val="clear" w:color="auto" w:fill="EAD5EF"/>
          </w:tcPr>
          <w:p w14:paraId="35341B4A" w14:textId="77777777" w:rsidR="000360F1" w:rsidRDefault="00B512BB" w:rsidP="007F35DF">
            <w:pPr>
              <w:spacing w:after="0" w:line="259" w:lineRule="auto"/>
              <w:ind w:left="0" w:right="0" w:firstLine="0"/>
              <w:jc w:val="left"/>
            </w:pPr>
            <w:r>
              <w:rPr>
                <w:b/>
                <w:sz w:val="20"/>
              </w:rPr>
              <w:t xml:space="preserve"> </w:t>
            </w:r>
          </w:p>
          <w:p w14:paraId="2B07C8F1" w14:textId="77777777" w:rsidR="000360F1" w:rsidRDefault="00B512BB" w:rsidP="007F35DF">
            <w:pPr>
              <w:spacing w:after="0" w:line="259" w:lineRule="auto"/>
              <w:ind w:left="0" w:right="0" w:firstLine="0"/>
              <w:jc w:val="left"/>
            </w:pPr>
            <w:r>
              <w:rPr>
                <w:b/>
                <w:sz w:val="20"/>
              </w:rPr>
              <w:t xml:space="preserve">3.0 Post Completion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B47DF8" w14:textId="77777777" w:rsidR="000360F1" w:rsidRDefault="00B512BB" w:rsidP="007F35DF">
            <w:pPr>
              <w:spacing w:after="0" w:line="259" w:lineRule="auto"/>
              <w:ind w:left="0" w:right="0" w:firstLine="0"/>
              <w:jc w:val="left"/>
            </w:pPr>
            <w:r>
              <w:rPr>
                <w:sz w:val="20"/>
              </w:rPr>
              <w:t xml:space="preserve"> </w:t>
            </w:r>
          </w:p>
          <w:p w14:paraId="7B518AAD" w14:textId="77777777" w:rsidR="000360F1" w:rsidRDefault="00B512BB" w:rsidP="007F35DF">
            <w:pPr>
              <w:spacing w:after="0" w:line="259" w:lineRule="auto"/>
              <w:ind w:left="0" w:right="0" w:firstLine="0"/>
              <w:jc w:val="left"/>
            </w:pPr>
            <w:r>
              <w:rPr>
                <w:sz w:val="20"/>
              </w:rPr>
              <w:t xml:space="preserve">Land Registry </w:t>
            </w:r>
          </w:p>
          <w:p w14:paraId="02420B28" w14:textId="77777777" w:rsidR="000360F1" w:rsidRDefault="00B512BB" w:rsidP="007F35DF">
            <w:pPr>
              <w:spacing w:after="0" w:line="259" w:lineRule="auto"/>
              <w:ind w:left="0" w:right="0" w:firstLine="0"/>
              <w:jc w:val="left"/>
            </w:pPr>
            <w:r>
              <w:rPr>
                <w:sz w:val="20"/>
              </w:rPr>
              <w:t xml:space="preserve">Requisitions </w:t>
            </w:r>
          </w:p>
        </w:tc>
        <w:tc>
          <w:tcPr>
            <w:tcW w:w="4905" w:type="dxa"/>
            <w:tcBorders>
              <w:top w:val="single" w:sz="4" w:space="0" w:color="000000"/>
              <w:left w:val="single" w:sz="4" w:space="0" w:color="000000"/>
              <w:bottom w:val="single" w:sz="4" w:space="0" w:color="000000"/>
              <w:right w:val="single" w:sz="4" w:space="0" w:color="000000"/>
            </w:tcBorders>
          </w:tcPr>
          <w:p w14:paraId="3AB2BE32" w14:textId="77777777" w:rsidR="000360F1" w:rsidRDefault="00B512BB" w:rsidP="007F35DF">
            <w:pPr>
              <w:spacing w:after="0" w:line="259" w:lineRule="auto"/>
              <w:ind w:left="4" w:right="0" w:firstLine="0"/>
              <w:jc w:val="left"/>
            </w:pPr>
            <w:r>
              <w:rPr>
                <w:sz w:val="20"/>
              </w:rPr>
              <w:t xml:space="preserve"> </w:t>
            </w:r>
          </w:p>
          <w:p w14:paraId="763754A3" w14:textId="1D8DC548" w:rsidR="000360F1" w:rsidRDefault="00B512BB" w:rsidP="00122A9E">
            <w:pPr>
              <w:spacing w:after="0" w:line="244" w:lineRule="auto"/>
              <w:ind w:left="4" w:right="57" w:firstLine="0"/>
              <w:jc w:val="left"/>
            </w:pPr>
            <w:r>
              <w:rPr>
                <w:sz w:val="20"/>
              </w:rPr>
              <w:t xml:space="preserve">So far as required by the terms of the Contract and covenants for </w:t>
            </w:r>
            <w:r w:rsidR="002B05FF">
              <w:rPr>
                <w:sz w:val="20"/>
              </w:rPr>
              <w:t>T</w:t>
            </w:r>
            <w:r>
              <w:rPr>
                <w:sz w:val="20"/>
              </w:rPr>
              <w:t xml:space="preserve">itle, the seller’s </w:t>
            </w:r>
            <w:r w:rsidR="002B05FF">
              <w:rPr>
                <w:sz w:val="20"/>
              </w:rPr>
              <w:t>conveyancer</w:t>
            </w:r>
            <w:r>
              <w:rPr>
                <w:sz w:val="20"/>
              </w:rPr>
              <w:t xml:space="preserve"> should assist the buyer’s lawyer with Land Registry Requisitions in a co-operative and timely fashion. </w:t>
            </w:r>
          </w:p>
          <w:p w14:paraId="43B6E534" w14:textId="77777777" w:rsidR="000360F1" w:rsidRDefault="00B512BB" w:rsidP="007F35DF">
            <w:pPr>
              <w:spacing w:after="0" w:line="259" w:lineRule="auto"/>
              <w:ind w:left="4" w:right="0" w:firstLine="0"/>
              <w:jc w:val="left"/>
            </w:pPr>
            <w:r>
              <w:rPr>
                <w:sz w:val="20"/>
              </w:rPr>
              <w:t xml:space="preserve"> </w:t>
            </w:r>
          </w:p>
        </w:tc>
      </w:tr>
      <w:tr w:rsidR="007F35DF" w14:paraId="55DBEBA5" w14:textId="77777777" w:rsidTr="00CC4301">
        <w:tblPrEx>
          <w:tblCellMar>
            <w:top w:w="7" w:type="dxa"/>
            <w:left w:w="107" w:type="dxa"/>
            <w:right w:w="53" w:type="dxa"/>
          </w:tblCellMar>
        </w:tblPrEx>
        <w:trPr>
          <w:trHeight w:val="2116"/>
        </w:trPr>
        <w:tc>
          <w:tcPr>
            <w:tcW w:w="3355" w:type="dxa"/>
            <w:gridSpan w:val="3"/>
            <w:tcBorders>
              <w:top w:val="single" w:sz="4" w:space="0" w:color="000000"/>
              <w:left w:val="single" w:sz="4" w:space="0" w:color="000000"/>
              <w:bottom w:val="single" w:sz="4" w:space="0" w:color="000000"/>
              <w:right w:val="single" w:sz="4" w:space="0" w:color="000000"/>
            </w:tcBorders>
            <w:shd w:val="clear" w:color="auto" w:fill="EAD5EF"/>
          </w:tcPr>
          <w:p w14:paraId="0FB3ACB6" w14:textId="77777777" w:rsidR="000360F1" w:rsidRDefault="00B512BB" w:rsidP="007F35DF">
            <w:pPr>
              <w:spacing w:after="0" w:line="259" w:lineRule="auto"/>
              <w:ind w:left="0" w:right="0" w:firstLine="0"/>
              <w:jc w:val="left"/>
            </w:pPr>
            <w:r>
              <w:rPr>
                <w:b/>
                <w:sz w:val="20"/>
              </w:rPr>
              <w:t xml:space="preserve"> </w:t>
            </w:r>
          </w:p>
          <w:p w14:paraId="7AF579A3" w14:textId="77777777" w:rsidR="000360F1" w:rsidRDefault="00B512BB" w:rsidP="007F35DF">
            <w:pPr>
              <w:spacing w:after="0" w:line="259" w:lineRule="auto"/>
              <w:ind w:left="0" w:right="0" w:firstLine="0"/>
              <w:jc w:val="left"/>
            </w:pPr>
            <w:r>
              <w:rPr>
                <w:b/>
                <w:sz w:val="20"/>
              </w:rPr>
              <w:t xml:space="preserve">4.0 Technical Issues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4852E8" w14:textId="77777777" w:rsidR="000360F1" w:rsidRDefault="00B512BB" w:rsidP="007F35DF">
            <w:pPr>
              <w:spacing w:after="0" w:line="259" w:lineRule="auto"/>
              <w:ind w:left="0" w:right="0" w:firstLine="0"/>
              <w:jc w:val="left"/>
            </w:pPr>
            <w:r>
              <w:rPr>
                <w:sz w:val="20"/>
              </w:rPr>
              <w:t xml:space="preserve"> </w:t>
            </w:r>
          </w:p>
          <w:p w14:paraId="0FA16F51" w14:textId="77777777" w:rsidR="000360F1" w:rsidRDefault="00B512BB" w:rsidP="007F35DF">
            <w:pPr>
              <w:spacing w:after="2" w:line="239" w:lineRule="auto"/>
              <w:ind w:left="0" w:right="0" w:firstLine="0"/>
              <w:jc w:val="left"/>
            </w:pPr>
            <w:r>
              <w:rPr>
                <w:sz w:val="20"/>
              </w:rPr>
              <w:t xml:space="preserve">Dealing with Issues with Extensions &amp; </w:t>
            </w:r>
          </w:p>
          <w:p w14:paraId="3F383285" w14:textId="77777777" w:rsidR="000360F1" w:rsidRDefault="00B512BB" w:rsidP="007F35DF">
            <w:pPr>
              <w:spacing w:after="0" w:line="259" w:lineRule="auto"/>
              <w:ind w:left="0" w:right="0" w:firstLine="0"/>
              <w:jc w:val="left"/>
            </w:pPr>
            <w:r>
              <w:rPr>
                <w:sz w:val="20"/>
              </w:rPr>
              <w:t xml:space="preserve">Alterations </w:t>
            </w:r>
          </w:p>
          <w:p w14:paraId="69F6E5B7" w14:textId="77777777" w:rsidR="000360F1" w:rsidRDefault="00B512BB" w:rsidP="007F35DF">
            <w:pPr>
              <w:spacing w:after="0" w:line="259" w:lineRule="auto"/>
              <w:ind w:left="0" w:right="0" w:firstLine="0"/>
              <w:jc w:val="left"/>
            </w:pPr>
            <w:r>
              <w:rPr>
                <w:sz w:val="20"/>
              </w:rPr>
              <w:t xml:space="preserve"> </w:t>
            </w:r>
          </w:p>
          <w:p w14:paraId="3FD78FAC" w14:textId="77777777" w:rsidR="000360F1" w:rsidRDefault="00B512BB" w:rsidP="007F35DF">
            <w:pPr>
              <w:spacing w:after="0" w:line="259" w:lineRule="auto"/>
              <w:ind w:left="0" w:right="0" w:firstLine="0"/>
              <w:jc w:val="left"/>
            </w:pPr>
            <w:r>
              <w:rPr>
                <w:sz w:val="20"/>
              </w:rPr>
              <w:t xml:space="preserve"> </w:t>
            </w:r>
          </w:p>
          <w:p w14:paraId="4BAF8C6E" w14:textId="77777777" w:rsidR="000360F1" w:rsidRDefault="00B512BB" w:rsidP="007F35DF">
            <w:pPr>
              <w:spacing w:after="0" w:line="259" w:lineRule="auto"/>
              <w:ind w:left="0" w:right="0" w:firstLine="0"/>
              <w:jc w:val="left"/>
            </w:pPr>
            <w:r>
              <w:rPr>
                <w:sz w:val="20"/>
              </w:rPr>
              <w:t xml:space="preserve"> </w:t>
            </w:r>
          </w:p>
          <w:p w14:paraId="28AB34B9" w14:textId="77777777" w:rsidR="000360F1" w:rsidRDefault="00B512BB" w:rsidP="007F35DF">
            <w:pPr>
              <w:spacing w:after="0" w:line="259" w:lineRule="auto"/>
              <w:ind w:left="0" w:right="0" w:firstLine="0"/>
              <w:jc w:val="left"/>
            </w:pPr>
            <w:r>
              <w:rPr>
                <w:sz w:val="20"/>
              </w:rPr>
              <w:t xml:space="preserve"> </w:t>
            </w:r>
          </w:p>
          <w:p w14:paraId="4B12721A" w14:textId="77777777" w:rsidR="000360F1" w:rsidRDefault="00B512BB" w:rsidP="007F35DF">
            <w:pPr>
              <w:spacing w:after="0" w:line="259" w:lineRule="auto"/>
              <w:ind w:left="0" w:right="0" w:firstLine="0"/>
              <w:jc w:val="left"/>
            </w:pPr>
            <w:r>
              <w:rPr>
                <w:sz w:val="20"/>
              </w:rPr>
              <w:t xml:space="preserve"> </w:t>
            </w:r>
          </w:p>
          <w:p w14:paraId="1DB02192" w14:textId="77777777" w:rsidR="000360F1" w:rsidRDefault="00B512BB" w:rsidP="007F35DF">
            <w:pPr>
              <w:spacing w:after="0" w:line="259" w:lineRule="auto"/>
              <w:ind w:left="0" w:right="0" w:firstLine="0"/>
              <w:jc w:val="left"/>
            </w:pPr>
            <w:r>
              <w:rPr>
                <w:sz w:val="20"/>
              </w:rPr>
              <w:t xml:space="preserve"> </w:t>
            </w:r>
          </w:p>
          <w:p w14:paraId="09049484" w14:textId="77777777" w:rsidR="000360F1" w:rsidRDefault="00B512BB" w:rsidP="007F35DF">
            <w:pPr>
              <w:spacing w:after="0" w:line="259" w:lineRule="auto"/>
              <w:ind w:left="0" w:right="0" w:firstLine="0"/>
              <w:jc w:val="left"/>
            </w:pPr>
            <w:r>
              <w:rPr>
                <w:sz w:val="20"/>
              </w:rPr>
              <w:t xml:space="preserve"> </w:t>
            </w:r>
          </w:p>
          <w:p w14:paraId="0FC24175" w14:textId="77777777" w:rsidR="000360F1" w:rsidRDefault="00B512BB" w:rsidP="007F35DF">
            <w:pPr>
              <w:spacing w:after="0" w:line="259" w:lineRule="auto"/>
              <w:ind w:left="0" w:right="0" w:firstLine="0"/>
              <w:jc w:val="left"/>
            </w:pPr>
            <w:r>
              <w:rPr>
                <w:sz w:val="20"/>
              </w:rPr>
              <w:t xml:space="preserve"> </w:t>
            </w:r>
          </w:p>
          <w:p w14:paraId="2A55CD25" w14:textId="77777777" w:rsidR="000360F1" w:rsidRDefault="00B512BB" w:rsidP="007F35DF">
            <w:pPr>
              <w:spacing w:after="0" w:line="259" w:lineRule="auto"/>
              <w:ind w:left="0" w:right="0" w:firstLine="0"/>
              <w:jc w:val="left"/>
            </w:pPr>
            <w:r>
              <w:rPr>
                <w:sz w:val="20"/>
              </w:rPr>
              <w:t xml:space="preserve"> </w:t>
            </w:r>
          </w:p>
          <w:p w14:paraId="38ABBB4A" w14:textId="77777777" w:rsidR="000360F1" w:rsidRDefault="00B512BB" w:rsidP="007F35DF">
            <w:pPr>
              <w:spacing w:after="0" w:line="259" w:lineRule="auto"/>
              <w:ind w:left="0" w:right="0" w:firstLine="0"/>
              <w:jc w:val="left"/>
            </w:pPr>
            <w:r>
              <w:rPr>
                <w:sz w:val="20"/>
              </w:rPr>
              <w:t xml:space="preserve"> </w:t>
            </w:r>
          </w:p>
          <w:p w14:paraId="2F3CDE3A" w14:textId="77777777" w:rsidR="000360F1" w:rsidRDefault="00B512BB" w:rsidP="007F35DF">
            <w:pPr>
              <w:spacing w:after="0" w:line="259" w:lineRule="auto"/>
              <w:ind w:left="0" w:right="0" w:firstLine="0"/>
              <w:jc w:val="left"/>
            </w:pPr>
            <w:r>
              <w:rPr>
                <w:sz w:val="20"/>
              </w:rPr>
              <w:t xml:space="preserve"> </w:t>
            </w:r>
          </w:p>
          <w:p w14:paraId="4D261077" w14:textId="77777777" w:rsidR="000360F1" w:rsidRDefault="00B512BB" w:rsidP="007F35DF">
            <w:pPr>
              <w:spacing w:after="0" w:line="259" w:lineRule="auto"/>
              <w:ind w:left="0" w:right="0" w:firstLine="0"/>
              <w:jc w:val="left"/>
            </w:pPr>
            <w:r>
              <w:rPr>
                <w:sz w:val="20"/>
              </w:rPr>
              <w:t xml:space="preserve"> </w:t>
            </w:r>
          </w:p>
          <w:p w14:paraId="48528450" w14:textId="77777777" w:rsidR="000360F1" w:rsidRDefault="00B512BB" w:rsidP="007F35DF">
            <w:pPr>
              <w:spacing w:after="0" w:line="259" w:lineRule="auto"/>
              <w:ind w:left="0" w:right="0" w:firstLine="0"/>
              <w:jc w:val="left"/>
            </w:pPr>
            <w:r>
              <w:rPr>
                <w:sz w:val="20"/>
              </w:rPr>
              <w:t xml:space="preserve"> </w:t>
            </w:r>
          </w:p>
          <w:p w14:paraId="20AADE29" w14:textId="77777777" w:rsidR="000360F1" w:rsidRDefault="00B512BB" w:rsidP="007F35DF">
            <w:pPr>
              <w:spacing w:after="0" w:line="259" w:lineRule="auto"/>
              <w:ind w:left="0" w:right="0" w:firstLine="0"/>
              <w:jc w:val="left"/>
            </w:pPr>
            <w:r>
              <w:rPr>
                <w:sz w:val="20"/>
              </w:rPr>
              <w:t xml:space="preserve"> </w:t>
            </w:r>
          </w:p>
          <w:p w14:paraId="5619905A" w14:textId="77777777" w:rsidR="000360F1" w:rsidRDefault="00B512BB" w:rsidP="007F35DF">
            <w:pPr>
              <w:spacing w:after="0" w:line="259" w:lineRule="auto"/>
              <w:ind w:left="0" w:right="0" w:firstLine="0"/>
              <w:jc w:val="left"/>
            </w:pPr>
            <w:r>
              <w:rPr>
                <w:sz w:val="20"/>
              </w:rPr>
              <w:t xml:space="preserve"> </w:t>
            </w:r>
          </w:p>
          <w:p w14:paraId="2DC3B526" w14:textId="77777777" w:rsidR="000360F1" w:rsidRDefault="00B512BB" w:rsidP="007F35DF">
            <w:pPr>
              <w:spacing w:after="0" w:line="259" w:lineRule="auto"/>
              <w:ind w:left="0" w:right="0" w:firstLine="0"/>
              <w:jc w:val="left"/>
            </w:pPr>
            <w:r>
              <w:rPr>
                <w:sz w:val="20"/>
              </w:rPr>
              <w:t xml:space="preserve"> </w:t>
            </w:r>
          </w:p>
          <w:p w14:paraId="48092E39" w14:textId="77777777" w:rsidR="000360F1" w:rsidRDefault="00B512BB" w:rsidP="007F35DF">
            <w:pPr>
              <w:spacing w:after="0" w:line="259" w:lineRule="auto"/>
              <w:ind w:left="0" w:right="0" w:firstLine="0"/>
              <w:jc w:val="left"/>
            </w:pPr>
            <w:r>
              <w:rPr>
                <w:sz w:val="20"/>
              </w:rPr>
              <w:t xml:space="preserve"> </w:t>
            </w:r>
          </w:p>
          <w:p w14:paraId="233F1C1F" w14:textId="77777777" w:rsidR="000360F1" w:rsidRDefault="00B512BB" w:rsidP="007F35DF">
            <w:pPr>
              <w:spacing w:after="0" w:line="259" w:lineRule="auto"/>
              <w:ind w:left="0" w:right="0" w:firstLine="0"/>
              <w:jc w:val="left"/>
            </w:pPr>
            <w:r>
              <w:rPr>
                <w:sz w:val="20"/>
              </w:rPr>
              <w:t xml:space="preserve"> </w:t>
            </w:r>
          </w:p>
          <w:p w14:paraId="47269BD1" w14:textId="77777777" w:rsidR="000360F1" w:rsidRDefault="00B512BB" w:rsidP="007F35DF">
            <w:pPr>
              <w:spacing w:after="0" w:line="259" w:lineRule="auto"/>
              <w:ind w:left="0" w:right="0" w:firstLine="0"/>
              <w:jc w:val="left"/>
            </w:pPr>
            <w:r>
              <w:rPr>
                <w:sz w:val="20"/>
              </w:rPr>
              <w:t xml:space="preserve"> </w:t>
            </w:r>
          </w:p>
          <w:p w14:paraId="2F347080" w14:textId="77777777" w:rsidR="000360F1" w:rsidRDefault="00B512BB" w:rsidP="007F35DF">
            <w:pPr>
              <w:spacing w:after="0" w:line="259" w:lineRule="auto"/>
              <w:ind w:left="0" w:right="0" w:firstLine="0"/>
              <w:jc w:val="left"/>
            </w:pPr>
            <w:r>
              <w:rPr>
                <w:sz w:val="20"/>
              </w:rPr>
              <w:t xml:space="preserve"> </w:t>
            </w:r>
          </w:p>
          <w:p w14:paraId="09CCB499" w14:textId="77777777" w:rsidR="000360F1" w:rsidRDefault="00B512BB" w:rsidP="007F35DF">
            <w:pPr>
              <w:spacing w:after="0" w:line="259" w:lineRule="auto"/>
              <w:ind w:left="0" w:right="0" w:firstLine="0"/>
              <w:jc w:val="left"/>
            </w:pPr>
            <w:r>
              <w:rPr>
                <w:sz w:val="20"/>
              </w:rPr>
              <w:t xml:space="preserve"> </w:t>
            </w:r>
          </w:p>
          <w:p w14:paraId="0D38F9BF" w14:textId="77777777" w:rsidR="000360F1" w:rsidRDefault="00B512BB" w:rsidP="007F35DF">
            <w:pPr>
              <w:spacing w:after="0" w:line="259" w:lineRule="auto"/>
              <w:ind w:left="0" w:right="0" w:firstLine="0"/>
              <w:jc w:val="left"/>
            </w:pPr>
            <w:r>
              <w:rPr>
                <w:sz w:val="20"/>
              </w:rPr>
              <w:t xml:space="preserve"> </w:t>
            </w:r>
          </w:p>
          <w:p w14:paraId="5DD1D5A6" w14:textId="77777777" w:rsidR="000360F1" w:rsidRDefault="00B512BB" w:rsidP="007F35DF">
            <w:pPr>
              <w:spacing w:after="0" w:line="259" w:lineRule="auto"/>
              <w:ind w:left="0" w:right="0" w:firstLine="0"/>
              <w:jc w:val="left"/>
            </w:pPr>
            <w:r>
              <w:rPr>
                <w:sz w:val="20"/>
              </w:rPr>
              <w:t xml:space="preserve"> </w:t>
            </w:r>
          </w:p>
          <w:p w14:paraId="55FE2329" w14:textId="77777777" w:rsidR="000360F1" w:rsidRDefault="00B512BB" w:rsidP="007F35DF">
            <w:pPr>
              <w:spacing w:after="0" w:line="259" w:lineRule="auto"/>
              <w:ind w:left="0" w:right="0" w:firstLine="0"/>
              <w:jc w:val="left"/>
            </w:pPr>
            <w:r>
              <w:rPr>
                <w:sz w:val="20"/>
              </w:rPr>
              <w:t xml:space="preserve"> </w:t>
            </w:r>
          </w:p>
          <w:p w14:paraId="1197BE47" w14:textId="77777777" w:rsidR="000360F1" w:rsidRDefault="00B512BB" w:rsidP="007F35DF">
            <w:pPr>
              <w:spacing w:after="0" w:line="259" w:lineRule="auto"/>
              <w:ind w:left="0" w:right="0" w:firstLine="0"/>
              <w:jc w:val="left"/>
            </w:pPr>
            <w:r>
              <w:rPr>
                <w:sz w:val="20"/>
              </w:rPr>
              <w:t xml:space="preserve"> </w:t>
            </w:r>
          </w:p>
          <w:p w14:paraId="056B703B" w14:textId="77777777" w:rsidR="000360F1" w:rsidRDefault="00B512BB" w:rsidP="007F35DF">
            <w:pPr>
              <w:spacing w:after="0" w:line="259" w:lineRule="auto"/>
              <w:ind w:left="0" w:right="0" w:firstLine="0"/>
              <w:jc w:val="left"/>
            </w:pPr>
            <w:r>
              <w:rPr>
                <w:sz w:val="20"/>
              </w:rPr>
              <w:t xml:space="preserve"> </w:t>
            </w:r>
          </w:p>
        </w:tc>
        <w:tc>
          <w:tcPr>
            <w:tcW w:w="4905" w:type="dxa"/>
            <w:tcBorders>
              <w:top w:val="single" w:sz="4" w:space="0" w:color="000000"/>
              <w:left w:val="single" w:sz="4" w:space="0" w:color="000000"/>
              <w:bottom w:val="single" w:sz="4" w:space="0" w:color="000000"/>
              <w:right w:val="single" w:sz="4" w:space="0" w:color="000000"/>
            </w:tcBorders>
          </w:tcPr>
          <w:p w14:paraId="05BD3106" w14:textId="77777777" w:rsidR="000360F1" w:rsidRDefault="00B512BB" w:rsidP="007F35DF">
            <w:pPr>
              <w:spacing w:after="0" w:line="259" w:lineRule="auto"/>
              <w:ind w:left="4" w:right="0" w:firstLine="0"/>
              <w:jc w:val="left"/>
            </w:pPr>
            <w:r>
              <w:rPr>
                <w:b/>
                <w:sz w:val="20"/>
              </w:rPr>
              <w:t xml:space="preserve"> </w:t>
            </w:r>
          </w:p>
          <w:p w14:paraId="460E5F63" w14:textId="62D611DA" w:rsidR="000360F1" w:rsidRDefault="00B512BB" w:rsidP="00122A9E">
            <w:pPr>
              <w:spacing w:after="21" w:line="237" w:lineRule="auto"/>
              <w:ind w:left="4" w:right="58" w:firstLine="0"/>
              <w:jc w:val="left"/>
            </w:pPr>
            <w:r>
              <w:rPr>
                <w:sz w:val="20"/>
              </w:rPr>
              <w:t xml:space="preserve">The following is not </w:t>
            </w:r>
            <w:r w:rsidR="00F21D63">
              <w:rPr>
                <w:sz w:val="20"/>
              </w:rPr>
              <w:t>exhaustive,</w:t>
            </w:r>
            <w:r>
              <w:rPr>
                <w:sz w:val="20"/>
              </w:rPr>
              <w:t xml:space="preserve"> and each transaction should be judged on its own merits and with due consideration to any other statutory requirements e.g. Conservation Areas, Article 4 Directions, Listed Buildings</w:t>
            </w:r>
            <w:r w:rsidR="002B05FF">
              <w:rPr>
                <w:sz w:val="20"/>
              </w:rPr>
              <w:t>,</w:t>
            </w:r>
            <w:r>
              <w:rPr>
                <w:sz w:val="20"/>
              </w:rPr>
              <w:t xml:space="preserve"> etc.</w:t>
            </w:r>
            <w:r>
              <w:rPr>
                <w:sz w:val="20"/>
                <w:vertAlign w:val="superscript"/>
              </w:rPr>
              <w:footnoteReference w:id="21"/>
            </w:r>
            <w:r>
              <w:rPr>
                <w:sz w:val="20"/>
              </w:rPr>
              <w:t xml:space="preserve"> </w:t>
            </w:r>
          </w:p>
          <w:p w14:paraId="306E3940" w14:textId="77777777" w:rsidR="000360F1" w:rsidRDefault="00B512BB" w:rsidP="007F35DF">
            <w:pPr>
              <w:spacing w:after="0" w:line="259" w:lineRule="auto"/>
              <w:ind w:left="4" w:right="0" w:firstLine="0"/>
              <w:jc w:val="left"/>
            </w:pPr>
            <w:r>
              <w:rPr>
                <w:b/>
                <w:sz w:val="20"/>
              </w:rPr>
              <w:t xml:space="preserve"> </w:t>
            </w:r>
          </w:p>
          <w:p w14:paraId="0F970F64" w14:textId="77777777" w:rsidR="000360F1" w:rsidRDefault="00B512BB" w:rsidP="00122A9E">
            <w:pPr>
              <w:spacing w:after="120" w:line="259" w:lineRule="auto"/>
              <w:ind w:left="6" w:right="0" w:firstLine="0"/>
              <w:jc w:val="left"/>
            </w:pPr>
            <w:r>
              <w:rPr>
                <w:b/>
                <w:sz w:val="20"/>
              </w:rPr>
              <w:t xml:space="preserve">Planning Permission </w:t>
            </w:r>
          </w:p>
          <w:p w14:paraId="03721B11" w14:textId="4D8FB5F5" w:rsidR="000360F1" w:rsidRDefault="00B512BB" w:rsidP="007F35DF">
            <w:pPr>
              <w:numPr>
                <w:ilvl w:val="0"/>
                <w:numId w:val="4"/>
              </w:numPr>
              <w:spacing w:after="15" w:line="242" w:lineRule="auto"/>
              <w:ind w:right="55" w:hanging="360"/>
              <w:jc w:val="left"/>
            </w:pPr>
            <w:r>
              <w:rPr>
                <w:sz w:val="20"/>
              </w:rPr>
              <w:t xml:space="preserve">Works requiring planning </w:t>
            </w:r>
            <w:r w:rsidR="00F21D63">
              <w:rPr>
                <w:sz w:val="20"/>
              </w:rPr>
              <w:t>permission,</w:t>
            </w:r>
            <w:r>
              <w:rPr>
                <w:sz w:val="20"/>
              </w:rPr>
              <w:t xml:space="preserve"> which was not </w:t>
            </w:r>
            <w:r w:rsidR="00F21D63">
              <w:rPr>
                <w:sz w:val="20"/>
              </w:rPr>
              <w:t>obtained,</w:t>
            </w:r>
            <w:r>
              <w:rPr>
                <w:sz w:val="20"/>
              </w:rPr>
              <w:t xml:space="preserve"> and which were carried out within the last 12 months</w:t>
            </w:r>
            <w:r w:rsidR="002B05FF">
              <w:rPr>
                <w:sz w:val="20"/>
              </w:rPr>
              <w:t xml:space="preserve">, </w:t>
            </w:r>
            <w:r>
              <w:rPr>
                <w:sz w:val="20"/>
              </w:rPr>
              <w:t xml:space="preserve">require either a regularisation certificate or bespoke indemnity insurance, as appropriate to the client’s needs and requirements. </w:t>
            </w:r>
          </w:p>
          <w:p w14:paraId="33A873FE" w14:textId="1C751F48" w:rsidR="00476ACC" w:rsidRPr="005826CC" w:rsidRDefault="00B512BB" w:rsidP="007F35DF">
            <w:pPr>
              <w:numPr>
                <w:ilvl w:val="0"/>
                <w:numId w:val="4"/>
              </w:numPr>
              <w:spacing w:after="0" w:line="259" w:lineRule="auto"/>
              <w:ind w:right="55" w:hanging="360"/>
              <w:jc w:val="left"/>
            </w:pPr>
            <w:r>
              <w:rPr>
                <w:sz w:val="20"/>
              </w:rPr>
              <w:t xml:space="preserve">Without required planning permission but there is evidence </w:t>
            </w:r>
            <w:r w:rsidR="00505322">
              <w:rPr>
                <w:sz w:val="20"/>
              </w:rPr>
              <w:t xml:space="preserve">building </w:t>
            </w:r>
            <w:r>
              <w:rPr>
                <w:sz w:val="20"/>
              </w:rPr>
              <w:t>work</w:t>
            </w:r>
            <w:r w:rsidR="00505322">
              <w:rPr>
                <w:sz w:val="20"/>
              </w:rPr>
              <w:t xml:space="preserve"> or change of use </w:t>
            </w:r>
            <w:r>
              <w:rPr>
                <w:sz w:val="20"/>
              </w:rPr>
              <w:t xml:space="preserve">was completed over </w:t>
            </w:r>
            <w:r w:rsidR="00505322">
              <w:rPr>
                <w:sz w:val="20"/>
              </w:rPr>
              <w:t>10</w:t>
            </w:r>
            <w:r>
              <w:rPr>
                <w:sz w:val="20"/>
              </w:rPr>
              <w:t xml:space="preserve"> years ago without concealment</w:t>
            </w:r>
            <w:r>
              <w:rPr>
                <w:sz w:val="20"/>
                <w:vertAlign w:val="superscript"/>
              </w:rPr>
              <w:footnoteReference w:id="22"/>
            </w:r>
            <w:r>
              <w:rPr>
                <w:sz w:val="20"/>
              </w:rPr>
              <w:t xml:space="preserve"> (</w:t>
            </w:r>
            <w:r w:rsidR="00505322">
              <w:rPr>
                <w:sz w:val="20"/>
              </w:rPr>
              <w:t xml:space="preserve">in Wales </w:t>
            </w:r>
            <w:r w:rsidR="002B05FF">
              <w:rPr>
                <w:sz w:val="20"/>
              </w:rPr>
              <w:t>four</w:t>
            </w:r>
            <w:r>
              <w:rPr>
                <w:sz w:val="20"/>
              </w:rPr>
              <w:t xml:space="preserve"> years is required) – no further action</w:t>
            </w:r>
            <w:r w:rsidR="002B05FF">
              <w:rPr>
                <w:sz w:val="20"/>
              </w:rPr>
              <w:t>.</w:t>
            </w:r>
            <w:r>
              <w:rPr>
                <w:sz w:val="20"/>
                <w:vertAlign w:val="superscript"/>
              </w:rPr>
              <w:footnoteReference w:id="23"/>
            </w:r>
          </w:p>
          <w:p w14:paraId="702F9CBD" w14:textId="66C30E79" w:rsidR="00476ACC" w:rsidRPr="005826CC" w:rsidRDefault="00B512BB" w:rsidP="007F35DF">
            <w:pPr>
              <w:numPr>
                <w:ilvl w:val="0"/>
                <w:numId w:val="4"/>
              </w:numPr>
              <w:spacing w:after="0" w:line="259" w:lineRule="auto"/>
              <w:ind w:right="55" w:hanging="360"/>
              <w:jc w:val="left"/>
            </w:pPr>
            <w:r>
              <w:rPr>
                <w:sz w:val="20"/>
              </w:rPr>
              <w:t>Without required planning permission work completed over 12 months ago</w:t>
            </w:r>
            <w:r>
              <w:rPr>
                <w:sz w:val="20"/>
                <w:vertAlign w:val="superscript"/>
              </w:rPr>
              <w:footnoteReference w:id="24"/>
            </w:r>
            <w:r>
              <w:rPr>
                <w:sz w:val="20"/>
              </w:rPr>
              <w:t xml:space="preserve"> but less than </w:t>
            </w:r>
            <w:r w:rsidR="00505322">
              <w:rPr>
                <w:sz w:val="20"/>
              </w:rPr>
              <w:t>10</w:t>
            </w:r>
            <w:r>
              <w:rPr>
                <w:sz w:val="20"/>
              </w:rPr>
              <w:t xml:space="preserve"> years </w:t>
            </w:r>
            <w:r w:rsidR="00505322">
              <w:rPr>
                <w:sz w:val="20"/>
              </w:rPr>
              <w:t>in England/</w:t>
            </w:r>
            <w:r w:rsidR="002B05FF">
              <w:rPr>
                <w:sz w:val="20"/>
              </w:rPr>
              <w:t>four</w:t>
            </w:r>
            <w:r w:rsidR="00505322">
              <w:rPr>
                <w:sz w:val="20"/>
              </w:rPr>
              <w:t xml:space="preserve"> years in Wales </w:t>
            </w:r>
            <w:r>
              <w:rPr>
                <w:sz w:val="20"/>
              </w:rPr>
              <w:t>- obtain indemnity insurance on purchase or advise the client to supply indemnity insurance on sal</w:t>
            </w:r>
            <w:r w:rsidR="00476ACC">
              <w:rPr>
                <w:sz w:val="20"/>
              </w:rPr>
              <w:t>e.</w:t>
            </w:r>
          </w:p>
          <w:p w14:paraId="3B8B2ECA" w14:textId="1772FB12" w:rsidR="00476ACC" w:rsidRDefault="00476ACC" w:rsidP="007F35DF">
            <w:pPr>
              <w:numPr>
                <w:ilvl w:val="0"/>
                <w:numId w:val="4"/>
              </w:numPr>
              <w:spacing w:after="30" w:line="236" w:lineRule="auto"/>
              <w:ind w:right="110" w:hanging="360"/>
              <w:jc w:val="left"/>
            </w:pPr>
            <w:r>
              <w:rPr>
                <w:sz w:val="20"/>
              </w:rPr>
              <w:t>Planning permission revealed by search without conditions</w:t>
            </w:r>
            <w:r>
              <w:rPr>
                <w:sz w:val="20"/>
                <w:vertAlign w:val="superscript"/>
              </w:rPr>
              <w:footnoteReference w:id="25"/>
            </w:r>
            <w:r>
              <w:rPr>
                <w:sz w:val="20"/>
              </w:rPr>
              <w:t xml:space="preserve"> – no further action</w:t>
            </w:r>
            <w:r w:rsidR="002B05FF">
              <w:rPr>
                <w:sz w:val="20"/>
              </w:rPr>
              <w:t>.</w:t>
            </w:r>
            <w:r>
              <w:rPr>
                <w:sz w:val="20"/>
              </w:rPr>
              <w:t xml:space="preserve"> </w:t>
            </w:r>
          </w:p>
          <w:p w14:paraId="6E949D31" w14:textId="31169B4F" w:rsidR="00756010" w:rsidRPr="005826CC" w:rsidRDefault="00476ACC" w:rsidP="007F35DF">
            <w:pPr>
              <w:numPr>
                <w:ilvl w:val="0"/>
                <w:numId w:val="4"/>
              </w:numPr>
              <w:spacing w:after="0" w:line="241" w:lineRule="auto"/>
              <w:ind w:right="110" w:hanging="360"/>
              <w:jc w:val="left"/>
            </w:pPr>
            <w:r>
              <w:rPr>
                <w:sz w:val="20"/>
              </w:rPr>
              <w:t xml:space="preserve">Planning permission revealed by search with conditions </w:t>
            </w:r>
            <w:r w:rsidR="00756010">
              <w:rPr>
                <w:sz w:val="20"/>
              </w:rPr>
              <w:t>and the Local Authority have not recorded satisfaction of the condition then you should</w:t>
            </w:r>
            <w:r>
              <w:rPr>
                <w:sz w:val="20"/>
              </w:rPr>
              <w:t xml:space="preserve"> </w:t>
            </w:r>
            <w:r>
              <w:rPr>
                <w:b/>
                <w:i/>
                <w:sz w:val="20"/>
              </w:rPr>
              <w:t xml:space="preserve">obtain </w:t>
            </w:r>
            <w:r w:rsidR="0071578D">
              <w:rPr>
                <w:b/>
                <w:i/>
                <w:sz w:val="20"/>
              </w:rPr>
              <w:t xml:space="preserve">a </w:t>
            </w:r>
            <w:r>
              <w:rPr>
                <w:b/>
                <w:i/>
                <w:sz w:val="20"/>
              </w:rPr>
              <w:t>copy whatever the age of the consent</w:t>
            </w:r>
            <w:r w:rsidR="00756010">
              <w:rPr>
                <w:sz w:val="20"/>
              </w:rPr>
              <w:t xml:space="preserve"> unless evidence is available of the breach of the conditions occurring over 10 years ago</w:t>
            </w:r>
            <w:r w:rsidR="00885C1A">
              <w:rPr>
                <w:sz w:val="20"/>
              </w:rPr>
              <w:t xml:space="preserve"> and the condition is not an ongoing condition</w:t>
            </w:r>
            <w:r w:rsidR="002B05FF">
              <w:rPr>
                <w:sz w:val="20"/>
              </w:rPr>
              <w:t>,</w:t>
            </w:r>
            <w:r w:rsidR="00885C1A">
              <w:rPr>
                <w:sz w:val="20"/>
              </w:rPr>
              <w:t xml:space="preserve"> such as removal of permitted development rights which should be </w:t>
            </w:r>
            <w:r w:rsidR="00885C1A" w:rsidRPr="00C13D28">
              <w:rPr>
                <w:b/>
                <w:sz w:val="20"/>
              </w:rPr>
              <w:t>advised</w:t>
            </w:r>
            <w:r w:rsidR="00885C1A">
              <w:rPr>
                <w:sz w:val="20"/>
              </w:rPr>
              <w:t xml:space="preserve"> to the client to avoid future breach</w:t>
            </w:r>
            <w:r>
              <w:rPr>
                <w:sz w:val="20"/>
              </w:rPr>
              <w:t xml:space="preserve">.  </w:t>
            </w:r>
          </w:p>
          <w:p w14:paraId="6AFC6289" w14:textId="4BB814BC" w:rsidR="00476ACC" w:rsidRPr="005826CC" w:rsidRDefault="00476ACC" w:rsidP="007F35DF">
            <w:pPr>
              <w:numPr>
                <w:ilvl w:val="0"/>
                <w:numId w:val="4"/>
              </w:numPr>
              <w:spacing w:after="0" w:line="241" w:lineRule="auto"/>
              <w:ind w:right="110" w:hanging="360"/>
              <w:jc w:val="left"/>
            </w:pPr>
            <w:r>
              <w:rPr>
                <w:sz w:val="20"/>
              </w:rPr>
              <w:t xml:space="preserve">If the consent is more than 20 years old the buyer’s lawyer should obtain </w:t>
            </w:r>
            <w:r w:rsidR="00A82830">
              <w:rPr>
                <w:sz w:val="20"/>
              </w:rPr>
              <w:t>a copy</w:t>
            </w:r>
            <w:r>
              <w:rPr>
                <w:sz w:val="20"/>
              </w:rPr>
              <w:t xml:space="preserve"> direct from the appropriate planning authority</w:t>
            </w:r>
            <w:r w:rsidR="00A82830">
              <w:rPr>
                <w:sz w:val="20"/>
              </w:rPr>
              <w:t xml:space="preserve"> if they require the same</w:t>
            </w:r>
            <w:r>
              <w:rPr>
                <w:sz w:val="20"/>
              </w:rPr>
              <w:t xml:space="preserve">  </w:t>
            </w:r>
          </w:p>
          <w:p w14:paraId="658EDB37" w14:textId="6F5D2258" w:rsidR="00476ACC" w:rsidRDefault="00476ACC" w:rsidP="007F35DF">
            <w:pPr>
              <w:spacing w:after="0" w:line="241" w:lineRule="auto"/>
              <w:ind w:left="724" w:right="110" w:firstLine="0"/>
            </w:pPr>
            <w:r>
              <w:rPr>
                <w:sz w:val="20"/>
              </w:rPr>
              <w:t xml:space="preserve"> </w:t>
            </w:r>
          </w:p>
          <w:p w14:paraId="490EBFAB" w14:textId="7DAA3FD4" w:rsidR="000360F1" w:rsidRPr="00C222A6" w:rsidRDefault="00476ACC" w:rsidP="00122A9E">
            <w:pPr>
              <w:spacing w:after="1" w:line="241" w:lineRule="auto"/>
              <w:ind w:left="4" w:right="110" w:firstLine="0"/>
              <w:jc w:val="left"/>
              <w:rPr>
                <w:bCs/>
                <w:iCs/>
              </w:rPr>
            </w:pPr>
            <w:r w:rsidRPr="00122A9E">
              <w:rPr>
                <w:bCs/>
                <w:iCs/>
                <w:sz w:val="20"/>
              </w:rPr>
              <w:t xml:space="preserve">In all cases where planning permission was not obtained, the lawyer should advise their client and the valuer that permission was not </w:t>
            </w:r>
            <w:r w:rsidR="00B358F4" w:rsidRPr="00122A9E">
              <w:rPr>
                <w:bCs/>
                <w:iCs/>
                <w:sz w:val="20"/>
              </w:rPr>
              <w:t>obtained,</w:t>
            </w:r>
            <w:r w:rsidRPr="00122A9E">
              <w:rPr>
                <w:bCs/>
                <w:iCs/>
                <w:sz w:val="20"/>
              </w:rPr>
              <w:t xml:space="preserve"> and the valuer should confirm it is structurally sound and value the property on the basis that no Local Authority consents were obtained in respect of the work.</w:t>
            </w:r>
            <w:r w:rsidRPr="00C222A6">
              <w:rPr>
                <w:bCs/>
                <w:iCs/>
                <w:sz w:val="20"/>
              </w:rPr>
              <w:t xml:space="preserve"> </w:t>
            </w:r>
          </w:p>
        </w:tc>
      </w:tr>
      <w:tr w:rsidR="007F35DF" w14:paraId="60FD2080" w14:textId="77777777" w:rsidTr="00CC4301">
        <w:tblPrEx>
          <w:tblCellMar>
            <w:top w:w="9" w:type="dxa"/>
            <w:left w:w="107" w:type="dxa"/>
          </w:tblCellMar>
        </w:tblPrEx>
        <w:trPr>
          <w:trHeight w:val="2244"/>
        </w:trPr>
        <w:tc>
          <w:tcPr>
            <w:tcW w:w="3355" w:type="dxa"/>
            <w:gridSpan w:val="3"/>
            <w:tcBorders>
              <w:top w:val="single" w:sz="4" w:space="0" w:color="000000"/>
              <w:left w:val="single" w:sz="4" w:space="0" w:color="000000"/>
              <w:bottom w:val="single" w:sz="4" w:space="0" w:color="000000"/>
              <w:right w:val="single" w:sz="4" w:space="0" w:color="000000"/>
            </w:tcBorders>
            <w:shd w:val="clear" w:color="auto" w:fill="EAD5EF"/>
          </w:tcPr>
          <w:p w14:paraId="2909BA98" w14:textId="77777777" w:rsidR="000360F1" w:rsidRDefault="000360F1" w:rsidP="007F35DF">
            <w:pPr>
              <w:spacing w:after="160" w:line="259" w:lineRule="auto"/>
              <w:ind w:left="0" w:right="0" w:firstLine="0"/>
              <w:jc w:val="left"/>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482438" w14:textId="77777777" w:rsidR="000360F1" w:rsidRDefault="00B512BB" w:rsidP="00122A9E">
            <w:pPr>
              <w:shd w:val="clear" w:color="auto" w:fill="F2F2F2" w:themeFill="background1" w:themeFillShade="F2"/>
              <w:spacing w:after="0" w:line="259" w:lineRule="auto"/>
              <w:ind w:left="0" w:right="0" w:firstLine="0"/>
              <w:jc w:val="left"/>
            </w:pPr>
            <w:r>
              <w:rPr>
                <w:sz w:val="20"/>
              </w:rPr>
              <w:t xml:space="preserve"> </w:t>
            </w:r>
          </w:p>
          <w:p w14:paraId="6BA271BA" w14:textId="77777777" w:rsidR="000360F1" w:rsidRDefault="00B512BB" w:rsidP="007F35DF">
            <w:pPr>
              <w:spacing w:after="0" w:line="259" w:lineRule="auto"/>
              <w:ind w:left="0" w:right="0" w:firstLine="0"/>
              <w:jc w:val="left"/>
            </w:pPr>
            <w:r>
              <w:rPr>
                <w:sz w:val="20"/>
              </w:rPr>
              <w:t xml:space="preserve"> </w:t>
            </w:r>
          </w:p>
          <w:p w14:paraId="51F1D04D" w14:textId="77777777" w:rsidR="000360F1" w:rsidRDefault="00B512BB" w:rsidP="007F35DF">
            <w:pPr>
              <w:spacing w:after="0" w:line="259" w:lineRule="auto"/>
              <w:ind w:left="0" w:right="0" w:firstLine="0"/>
              <w:jc w:val="left"/>
            </w:pPr>
            <w:r>
              <w:rPr>
                <w:sz w:val="20"/>
              </w:rPr>
              <w:t xml:space="preserve"> </w:t>
            </w:r>
          </w:p>
          <w:p w14:paraId="44D0EAD2" w14:textId="77777777" w:rsidR="000360F1" w:rsidRDefault="00B512BB" w:rsidP="007F35DF">
            <w:pPr>
              <w:spacing w:after="0" w:line="259" w:lineRule="auto"/>
              <w:ind w:left="0" w:right="0" w:firstLine="0"/>
              <w:jc w:val="left"/>
            </w:pPr>
            <w:r>
              <w:rPr>
                <w:sz w:val="20"/>
              </w:rPr>
              <w:t xml:space="preserve"> </w:t>
            </w:r>
          </w:p>
          <w:p w14:paraId="1DCD53C1" w14:textId="77777777" w:rsidR="000360F1" w:rsidRDefault="00B512BB" w:rsidP="007F35DF">
            <w:pPr>
              <w:spacing w:after="0" w:line="259" w:lineRule="auto"/>
              <w:ind w:left="0" w:right="0" w:firstLine="0"/>
              <w:jc w:val="left"/>
            </w:pPr>
            <w:r>
              <w:rPr>
                <w:sz w:val="20"/>
              </w:rPr>
              <w:t xml:space="preserve"> </w:t>
            </w:r>
          </w:p>
          <w:p w14:paraId="6912E84E" w14:textId="77777777" w:rsidR="000360F1" w:rsidRDefault="00B512BB" w:rsidP="007F35DF">
            <w:pPr>
              <w:spacing w:after="0" w:line="259" w:lineRule="auto"/>
              <w:ind w:left="0" w:right="0" w:firstLine="0"/>
              <w:jc w:val="left"/>
            </w:pPr>
            <w:r>
              <w:rPr>
                <w:sz w:val="20"/>
              </w:rPr>
              <w:t xml:space="preserve"> </w:t>
            </w:r>
          </w:p>
          <w:p w14:paraId="1566E655" w14:textId="77777777" w:rsidR="000360F1" w:rsidRDefault="00B512BB" w:rsidP="007F35DF">
            <w:pPr>
              <w:spacing w:after="0" w:line="259" w:lineRule="auto"/>
              <w:ind w:left="0" w:right="0" w:firstLine="0"/>
              <w:jc w:val="left"/>
            </w:pPr>
            <w:r>
              <w:rPr>
                <w:sz w:val="20"/>
              </w:rPr>
              <w:t xml:space="preserve"> </w:t>
            </w:r>
          </w:p>
          <w:p w14:paraId="279F173C" w14:textId="77777777" w:rsidR="000360F1" w:rsidRDefault="00B512BB" w:rsidP="007F35DF">
            <w:pPr>
              <w:spacing w:after="0" w:line="259" w:lineRule="auto"/>
              <w:ind w:left="0" w:right="0" w:firstLine="0"/>
              <w:jc w:val="left"/>
            </w:pPr>
            <w:r>
              <w:rPr>
                <w:sz w:val="20"/>
              </w:rPr>
              <w:t xml:space="preserve"> </w:t>
            </w:r>
          </w:p>
          <w:p w14:paraId="1D4B0FCC" w14:textId="77777777" w:rsidR="000360F1" w:rsidRDefault="00B512BB" w:rsidP="007F35DF">
            <w:pPr>
              <w:spacing w:after="0" w:line="259" w:lineRule="auto"/>
              <w:ind w:left="0" w:right="0" w:firstLine="0"/>
              <w:jc w:val="left"/>
            </w:pPr>
            <w:r>
              <w:rPr>
                <w:sz w:val="20"/>
              </w:rPr>
              <w:t xml:space="preserve"> </w:t>
            </w:r>
          </w:p>
          <w:p w14:paraId="63A9C505" w14:textId="77777777" w:rsidR="000360F1" w:rsidRDefault="00B512BB" w:rsidP="007F35DF">
            <w:pPr>
              <w:spacing w:after="0" w:line="259" w:lineRule="auto"/>
              <w:ind w:left="0" w:right="0" w:firstLine="0"/>
              <w:jc w:val="left"/>
            </w:pPr>
            <w:r>
              <w:rPr>
                <w:sz w:val="20"/>
              </w:rPr>
              <w:t xml:space="preserve"> </w:t>
            </w:r>
          </w:p>
          <w:p w14:paraId="02F84EB3" w14:textId="77777777" w:rsidR="000360F1" w:rsidRDefault="00B512BB" w:rsidP="007F35DF">
            <w:pPr>
              <w:spacing w:after="0" w:line="259" w:lineRule="auto"/>
              <w:ind w:left="0" w:right="0" w:firstLine="0"/>
              <w:jc w:val="left"/>
            </w:pPr>
            <w:r>
              <w:rPr>
                <w:sz w:val="20"/>
              </w:rPr>
              <w:t xml:space="preserve"> </w:t>
            </w:r>
          </w:p>
          <w:p w14:paraId="0AEFE280" w14:textId="77777777" w:rsidR="000360F1" w:rsidRDefault="00B512BB" w:rsidP="007F35DF">
            <w:pPr>
              <w:spacing w:after="0" w:line="259" w:lineRule="auto"/>
              <w:ind w:left="0" w:right="0" w:firstLine="0"/>
              <w:jc w:val="left"/>
            </w:pPr>
            <w:r>
              <w:rPr>
                <w:sz w:val="20"/>
              </w:rPr>
              <w:t xml:space="preserve"> </w:t>
            </w:r>
          </w:p>
          <w:p w14:paraId="2FD10831" w14:textId="77777777" w:rsidR="000360F1" w:rsidRDefault="00B512BB" w:rsidP="007F35DF">
            <w:pPr>
              <w:spacing w:after="0" w:line="259" w:lineRule="auto"/>
              <w:ind w:left="0" w:right="0" w:firstLine="0"/>
              <w:jc w:val="left"/>
            </w:pPr>
            <w:r>
              <w:rPr>
                <w:sz w:val="20"/>
              </w:rPr>
              <w:t xml:space="preserve"> </w:t>
            </w:r>
          </w:p>
          <w:p w14:paraId="01341969" w14:textId="77777777" w:rsidR="000360F1" w:rsidRDefault="00B512BB" w:rsidP="007F35DF">
            <w:pPr>
              <w:spacing w:after="0" w:line="259" w:lineRule="auto"/>
              <w:ind w:left="0" w:right="0" w:firstLine="0"/>
              <w:jc w:val="left"/>
            </w:pPr>
            <w:r>
              <w:rPr>
                <w:sz w:val="20"/>
              </w:rPr>
              <w:t xml:space="preserve"> </w:t>
            </w:r>
          </w:p>
          <w:p w14:paraId="46BF7EAA" w14:textId="77777777" w:rsidR="000360F1" w:rsidRDefault="00B512BB" w:rsidP="007F35DF">
            <w:pPr>
              <w:spacing w:after="0" w:line="259" w:lineRule="auto"/>
              <w:ind w:left="0" w:right="0" w:firstLine="0"/>
              <w:jc w:val="left"/>
            </w:pPr>
            <w:r>
              <w:rPr>
                <w:sz w:val="20"/>
              </w:rPr>
              <w:t xml:space="preserve"> </w:t>
            </w:r>
          </w:p>
        </w:tc>
        <w:tc>
          <w:tcPr>
            <w:tcW w:w="4905" w:type="dxa"/>
            <w:tcBorders>
              <w:top w:val="single" w:sz="4" w:space="0" w:color="000000"/>
              <w:left w:val="single" w:sz="4" w:space="0" w:color="000000"/>
              <w:bottom w:val="single" w:sz="4" w:space="0" w:color="000000"/>
              <w:right w:val="single" w:sz="4" w:space="0" w:color="000000"/>
            </w:tcBorders>
          </w:tcPr>
          <w:p w14:paraId="0B62A2A3" w14:textId="77777777" w:rsidR="000360F1" w:rsidRDefault="00B512BB" w:rsidP="00122A9E">
            <w:pPr>
              <w:spacing w:before="180" w:after="120" w:line="259" w:lineRule="auto"/>
              <w:ind w:left="0" w:right="0" w:firstLine="0"/>
              <w:jc w:val="left"/>
            </w:pPr>
            <w:r>
              <w:rPr>
                <w:b/>
                <w:sz w:val="20"/>
              </w:rPr>
              <w:t xml:space="preserve">Buildings Regulations </w:t>
            </w:r>
          </w:p>
          <w:p w14:paraId="1CC22F34" w14:textId="77777777" w:rsidR="000360F1" w:rsidRDefault="00B512BB" w:rsidP="007F35DF">
            <w:pPr>
              <w:numPr>
                <w:ilvl w:val="0"/>
                <w:numId w:val="5"/>
              </w:numPr>
              <w:spacing w:after="12" w:line="245" w:lineRule="auto"/>
              <w:ind w:right="110" w:hanging="360"/>
              <w:jc w:val="left"/>
            </w:pPr>
            <w:r>
              <w:rPr>
                <w:sz w:val="20"/>
              </w:rPr>
              <w:t>Pre-1985</w:t>
            </w:r>
            <w:r>
              <w:rPr>
                <w:sz w:val="20"/>
                <w:vertAlign w:val="superscript"/>
              </w:rPr>
              <w:footnoteReference w:id="26"/>
            </w:r>
            <w:r>
              <w:rPr>
                <w:sz w:val="20"/>
              </w:rPr>
              <w:t xml:space="preserve"> no action required as the Local Authorities were not compelled to keep records until the advent of the Building Act 1984. </w:t>
            </w:r>
          </w:p>
          <w:p w14:paraId="6099AE36" w14:textId="72F8CDD9" w:rsidR="000360F1" w:rsidRDefault="00B512BB" w:rsidP="007F35DF">
            <w:pPr>
              <w:numPr>
                <w:ilvl w:val="0"/>
                <w:numId w:val="5"/>
              </w:numPr>
              <w:spacing w:after="16" w:line="242" w:lineRule="auto"/>
              <w:ind w:right="110" w:hanging="360"/>
              <w:jc w:val="left"/>
            </w:pPr>
            <w:r>
              <w:rPr>
                <w:sz w:val="20"/>
              </w:rPr>
              <w:t>Works carried out post</w:t>
            </w:r>
            <w:r w:rsidR="002B05FF">
              <w:rPr>
                <w:sz w:val="20"/>
              </w:rPr>
              <w:t>-</w:t>
            </w:r>
            <w:r>
              <w:rPr>
                <w:sz w:val="20"/>
              </w:rPr>
              <w:t>1985 and a Building Regulations Completion Certificate is revealed by your search – no further action</w:t>
            </w:r>
            <w:r w:rsidR="002B05FF">
              <w:rPr>
                <w:sz w:val="20"/>
              </w:rPr>
              <w:t>.</w:t>
            </w:r>
            <w:r>
              <w:rPr>
                <w:sz w:val="20"/>
              </w:rPr>
              <w:t xml:space="preserve">  </w:t>
            </w:r>
          </w:p>
          <w:p w14:paraId="02BD4309" w14:textId="1FF12018" w:rsidR="000360F1" w:rsidRDefault="00B512BB" w:rsidP="007F35DF">
            <w:pPr>
              <w:numPr>
                <w:ilvl w:val="0"/>
                <w:numId w:val="5"/>
              </w:numPr>
              <w:spacing w:after="35" w:line="240" w:lineRule="auto"/>
              <w:ind w:right="110" w:hanging="360"/>
              <w:jc w:val="left"/>
            </w:pPr>
            <w:r>
              <w:rPr>
                <w:sz w:val="20"/>
              </w:rPr>
              <w:t>Works carried out post</w:t>
            </w:r>
            <w:r w:rsidR="002B05FF">
              <w:rPr>
                <w:sz w:val="20"/>
              </w:rPr>
              <w:t>-</w:t>
            </w:r>
            <w:r>
              <w:rPr>
                <w:sz w:val="20"/>
              </w:rPr>
              <w:t xml:space="preserve">1984 but over 10 years ago and no Building Regulations Completion Certificate is revealed by your search; </w:t>
            </w:r>
            <w:r>
              <w:rPr>
                <w:b/>
                <w:sz w:val="20"/>
              </w:rPr>
              <w:t>advise</w:t>
            </w:r>
            <w:r>
              <w:rPr>
                <w:sz w:val="20"/>
              </w:rPr>
              <w:t xml:space="preserve"> the client and lender of lack of</w:t>
            </w:r>
            <w:r>
              <w:rPr>
                <w:b/>
                <w:sz w:val="20"/>
              </w:rPr>
              <w:t xml:space="preserve"> </w:t>
            </w:r>
            <w:r>
              <w:rPr>
                <w:sz w:val="20"/>
              </w:rPr>
              <w:t>availability of a Completion Certificate, the issues that arise if they wish to undertake additional works, and to check with Valuer/Surveyor as to the safety and structural integrity of the alteration. Consider the need for an indemnity insurance policy at the buyer’s cost only if you consider there is a material risk of enforcement action being taken.</w:t>
            </w:r>
            <w:r>
              <w:rPr>
                <w:sz w:val="20"/>
                <w:vertAlign w:val="superscript"/>
              </w:rPr>
              <w:footnoteReference w:id="27"/>
            </w:r>
            <w:r>
              <w:rPr>
                <w:sz w:val="20"/>
              </w:rPr>
              <w:t xml:space="preserve"> </w:t>
            </w:r>
          </w:p>
          <w:p w14:paraId="4BC37C45" w14:textId="3032A66F" w:rsidR="00B92C1D" w:rsidRPr="005826CC" w:rsidRDefault="00B92C1D" w:rsidP="007F35DF">
            <w:pPr>
              <w:numPr>
                <w:ilvl w:val="0"/>
                <w:numId w:val="5"/>
              </w:numPr>
              <w:spacing w:after="35" w:line="240" w:lineRule="auto"/>
              <w:ind w:right="110" w:hanging="302"/>
              <w:jc w:val="left"/>
              <w:rPr>
                <w:rFonts w:asciiTheme="minorHAnsi" w:eastAsiaTheme="minorHAnsi" w:hAnsiTheme="minorHAnsi" w:cstheme="minorBidi"/>
                <w:color w:val="000000" w:themeColor="text1"/>
              </w:rPr>
            </w:pPr>
            <w:r w:rsidRPr="005826CC">
              <w:rPr>
                <w:color w:val="000000" w:themeColor="text1"/>
                <w:sz w:val="20"/>
              </w:rPr>
              <w:t>Non-structural works carried out</w:t>
            </w:r>
            <w:r w:rsidR="005C5F13">
              <w:rPr>
                <w:color w:val="000000" w:themeColor="text1"/>
                <w:sz w:val="20"/>
              </w:rPr>
              <w:t xml:space="preserve"> </w:t>
            </w:r>
            <w:r w:rsidRPr="005826CC">
              <w:rPr>
                <w:color w:val="000000" w:themeColor="text1"/>
                <w:sz w:val="20"/>
              </w:rPr>
              <w:t xml:space="preserve">within the last 10 </w:t>
            </w:r>
            <w:proofErr w:type="gramStart"/>
            <w:r w:rsidRPr="005826CC">
              <w:rPr>
                <w:color w:val="000000" w:themeColor="text1"/>
                <w:sz w:val="20"/>
              </w:rPr>
              <w:t>years</w:t>
            </w:r>
            <w:proofErr w:type="gramEnd"/>
            <w:r w:rsidRPr="005826CC">
              <w:rPr>
                <w:color w:val="000000" w:themeColor="text1"/>
                <w:sz w:val="20"/>
              </w:rPr>
              <w:t xml:space="preserve"> and no Building Regulations Completion Certificate is revealed by your search; </w:t>
            </w:r>
            <w:r w:rsidRPr="005826CC">
              <w:rPr>
                <w:b/>
                <w:color w:val="000000" w:themeColor="text1"/>
                <w:sz w:val="20"/>
              </w:rPr>
              <w:t>advise</w:t>
            </w:r>
            <w:r w:rsidRPr="005826CC">
              <w:rPr>
                <w:color w:val="000000" w:themeColor="text1"/>
                <w:sz w:val="20"/>
              </w:rPr>
              <w:t xml:space="preserve"> the client and lender of lack of</w:t>
            </w:r>
            <w:r w:rsidRPr="005826CC">
              <w:rPr>
                <w:b/>
                <w:color w:val="000000" w:themeColor="text1"/>
                <w:sz w:val="20"/>
              </w:rPr>
              <w:t xml:space="preserve"> </w:t>
            </w:r>
            <w:r w:rsidRPr="005826CC">
              <w:rPr>
                <w:color w:val="000000" w:themeColor="text1"/>
                <w:sz w:val="20"/>
              </w:rPr>
              <w:t>availability of a Completion Certificate, the issues that arise if they wish to undertake additional works and to check with Valuer/Surveyor as to the safety and structural integrity of the alteration. Consider the need for an indemnity insurance policy at the buyer’s cost only if you consider there is a material risk of enforcement action being taken.</w:t>
            </w:r>
            <w:r w:rsidRPr="005826CC">
              <w:rPr>
                <w:color w:val="000000" w:themeColor="text1"/>
                <w:sz w:val="20"/>
                <w:vertAlign w:val="superscript"/>
              </w:rPr>
              <w:footnoteReference w:id="28"/>
            </w:r>
            <w:r w:rsidR="0015339F">
              <w:rPr>
                <w:color w:val="000000" w:themeColor="text1"/>
                <w:sz w:val="20"/>
              </w:rPr>
              <w:t xml:space="preserve">  For a </w:t>
            </w:r>
            <w:r w:rsidR="008C2264">
              <w:rPr>
                <w:color w:val="000000" w:themeColor="text1"/>
                <w:sz w:val="20"/>
              </w:rPr>
              <w:t>g</w:t>
            </w:r>
            <w:r w:rsidR="0015339F">
              <w:rPr>
                <w:color w:val="000000" w:themeColor="text1"/>
                <w:sz w:val="20"/>
              </w:rPr>
              <w:t>as boiler</w:t>
            </w:r>
            <w:r w:rsidR="002B05FF">
              <w:rPr>
                <w:color w:val="000000" w:themeColor="text1"/>
                <w:sz w:val="20"/>
              </w:rPr>
              <w:t>,</w:t>
            </w:r>
            <w:r w:rsidR="0015339F">
              <w:rPr>
                <w:color w:val="000000" w:themeColor="text1"/>
                <w:sz w:val="20"/>
              </w:rPr>
              <w:t xml:space="preserve"> a</w:t>
            </w:r>
            <w:r w:rsidR="008C2264">
              <w:rPr>
                <w:color w:val="000000" w:themeColor="text1"/>
                <w:sz w:val="20"/>
              </w:rPr>
              <w:t xml:space="preserve">n </w:t>
            </w:r>
            <w:r w:rsidR="005C5F13">
              <w:rPr>
                <w:color w:val="000000" w:themeColor="text1"/>
                <w:sz w:val="20"/>
              </w:rPr>
              <w:t>up-to-date</w:t>
            </w:r>
            <w:r w:rsidR="0015339F">
              <w:rPr>
                <w:color w:val="000000" w:themeColor="text1"/>
                <w:sz w:val="20"/>
              </w:rPr>
              <w:t xml:space="preserve"> </w:t>
            </w:r>
            <w:r w:rsidR="008C2264">
              <w:rPr>
                <w:color w:val="000000" w:themeColor="text1"/>
                <w:sz w:val="20"/>
              </w:rPr>
              <w:t>G</w:t>
            </w:r>
            <w:r w:rsidR="0015339F">
              <w:rPr>
                <w:color w:val="000000" w:themeColor="text1"/>
                <w:sz w:val="20"/>
              </w:rPr>
              <w:t xml:space="preserve">as </w:t>
            </w:r>
            <w:r w:rsidR="008C2264">
              <w:rPr>
                <w:color w:val="000000" w:themeColor="text1"/>
                <w:sz w:val="20"/>
              </w:rPr>
              <w:t>S</w:t>
            </w:r>
            <w:r w:rsidR="0015339F">
              <w:rPr>
                <w:color w:val="000000" w:themeColor="text1"/>
                <w:sz w:val="20"/>
              </w:rPr>
              <w:t xml:space="preserve">afety </w:t>
            </w:r>
            <w:r w:rsidR="008C2264">
              <w:rPr>
                <w:color w:val="000000" w:themeColor="text1"/>
                <w:sz w:val="20"/>
              </w:rPr>
              <w:t>C</w:t>
            </w:r>
            <w:r w:rsidR="0015339F">
              <w:rPr>
                <w:color w:val="000000" w:themeColor="text1"/>
                <w:sz w:val="20"/>
              </w:rPr>
              <w:t>ertificate</w:t>
            </w:r>
            <w:r w:rsidR="00CC4301">
              <w:rPr>
                <w:color w:val="000000" w:themeColor="text1"/>
                <w:sz w:val="20"/>
              </w:rPr>
              <w:t>,</w:t>
            </w:r>
            <w:r w:rsidR="008C2264">
              <w:rPr>
                <w:color w:val="000000" w:themeColor="text1"/>
                <w:sz w:val="20"/>
              </w:rPr>
              <w:t xml:space="preserve"> </w:t>
            </w:r>
            <w:r w:rsidR="00CC4301">
              <w:rPr>
                <w:color w:val="000000" w:themeColor="text1"/>
                <w:sz w:val="20"/>
              </w:rPr>
              <w:t>and for electrician work</w:t>
            </w:r>
            <w:r w:rsidR="009369D5">
              <w:rPr>
                <w:color w:val="000000" w:themeColor="text1"/>
                <w:sz w:val="20"/>
              </w:rPr>
              <w:t>,</w:t>
            </w:r>
            <w:r w:rsidR="00CC4301">
              <w:rPr>
                <w:color w:val="000000" w:themeColor="text1"/>
                <w:sz w:val="20"/>
              </w:rPr>
              <w:t xml:space="preserve"> an electrical test report, </w:t>
            </w:r>
            <w:r w:rsidR="008C2264">
              <w:rPr>
                <w:color w:val="000000" w:themeColor="text1"/>
                <w:sz w:val="20"/>
              </w:rPr>
              <w:t>ma</w:t>
            </w:r>
            <w:r w:rsidR="001248FA">
              <w:rPr>
                <w:color w:val="000000" w:themeColor="text1"/>
                <w:sz w:val="20"/>
              </w:rPr>
              <w:t>y</w:t>
            </w:r>
            <w:r w:rsidR="008C2264">
              <w:rPr>
                <w:color w:val="000000" w:themeColor="text1"/>
                <w:sz w:val="20"/>
              </w:rPr>
              <w:t xml:space="preserve"> provide reassurance.</w:t>
            </w:r>
          </w:p>
          <w:p w14:paraId="2583527D" w14:textId="728E1E0D" w:rsidR="00B92C1D" w:rsidRPr="005826CC" w:rsidRDefault="00B92C1D" w:rsidP="007F35DF">
            <w:pPr>
              <w:pStyle w:val="ListParagraph"/>
              <w:numPr>
                <w:ilvl w:val="0"/>
                <w:numId w:val="5"/>
              </w:numPr>
              <w:ind w:hanging="302"/>
              <w:jc w:val="left"/>
              <w:rPr>
                <w:rFonts w:ascii="Times New Roman" w:hAnsi="Times New Roman" w:cs="Times New Roman"/>
                <w:color w:val="000000" w:themeColor="text1"/>
                <w:sz w:val="24"/>
                <w:szCs w:val="24"/>
              </w:rPr>
            </w:pPr>
            <w:r w:rsidRPr="005826CC">
              <w:rPr>
                <w:color w:val="000000" w:themeColor="text1"/>
                <w:sz w:val="20"/>
              </w:rPr>
              <w:t xml:space="preserve">Structural works carried out within the last 10 </w:t>
            </w:r>
            <w:proofErr w:type="gramStart"/>
            <w:r w:rsidRPr="005826CC">
              <w:rPr>
                <w:color w:val="000000" w:themeColor="text1"/>
                <w:sz w:val="20"/>
              </w:rPr>
              <w:t>years</w:t>
            </w:r>
            <w:proofErr w:type="gramEnd"/>
            <w:r w:rsidRPr="005826CC">
              <w:rPr>
                <w:color w:val="000000" w:themeColor="text1"/>
                <w:sz w:val="20"/>
              </w:rPr>
              <w:t xml:space="preserve"> and no Building Regulations Completion Certificate is revealed by your search; </w:t>
            </w:r>
            <w:r w:rsidRPr="005826CC">
              <w:rPr>
                <w:b/>
                <w:color w:val="000000" w:themeColor="text1"/>
                <w:sz w:val="20"/>
              </w:rPr>
              <w:t>advise</w:t>
            </w:r>
            <w:r w:rsidRPr="005826CC">
              <w:rPr>
                <w:color w:val="000000" w:themeColor="text1"/>
                <w:sz w:val="20"/>
              </w:rPr>
              <w:t xml:space="preserve"> the client and lender of lack of</w:t>
            </w:r>
            <w:r w:rsidRPr="005826CC">
              <w:rPr>
                <w:b/>
                <w:color w:val="000000" w:themeColor="text1"/>
                <w:sz w:val="20"/>
              </w:rPr>
              <w:t xml:space="preserve"> </w:t>
            </w:r>
            <w:r w:rsidRPr="005826CC">
              <w:rPr>
                <w:color w:val="000000" w:themeColor="text1"/>
                <w:sz w:val="20"/>
              </w:rPr>
              <w:t>availability of a Completion Certificate, the issues that arise if they wish to undertake additional works and to check with Valuer/Surveyor as to the safety and structural integrity of the alteration. Recommend indemnity insurance against enforcement at the seller’s cost</w:t>
            </w:r>
            <w:r w:rsidRPr="005826CC">
              <w:rPr>
                <w:b/>
                <w:color w:val="000000" w:themeColor="text1"/>
                <w:sz w:val="20"/>
              </w:rPr>
              <w:t>.</w:t>
            </w:r>
            <w:r w:rsidRPr="005826CC">
              <w:rPr>
                <w:b/>
                <w:color w:val="000000" w:themeColor="text1"/>
                <w:vertAlign w:val="superscript"/>
              </w:rPr>
              <w:footnoteReference w:id="29"/>
            </w:r>
            <w:r w:rsidRPr="005826CC">
              <w:rPr>
                <w:color w:val="000000" w:themeColor="text1"/>
                <w:sz w:val="20"/>
              </w:rPr>
              <w:t xml:space="preserve"> </w:t>
            </w:r>
          </w:p>
          <w:p w14:paraId="6F90D3C5" w14:textId="77777777" w:rsidR="00B92C1D" w:rsidRDefault="00B92C1D" w:rsidP="007F35DF">
            <w:pPr>
              <w:spacing w:after="0" w:line="259" w:lineRule="auto"/>
              <w:ind w:left="422" w:right="110" w:firstLine="0"/>
              <w:rPr>
                <w:sz w:val="20"/>
              </w:rPr>
            </w:pPr>
          </w:p>
          <w:p w14:paraId="31C15596" w14:textId="6BEAFA46" w:rsidR="000360F1" w:rsidRDefault="00B92C1D" w:rsidP="009369D5">
            <w:pPr>
              <w:spacing w:after="0" w:line="241" w:lineRule="auto"/>
              <w:ind w:left="4" w:right="59" w:firstLine="0"/>
              <w:jc w:val="left"/>
            </w:pPr>
            <w:r>
              <w:rPr>
                <w:b/>
                <w:i/>
                <w:sz w:val="20"/>
              </w:rPr>
              <w:t xml:space="preserve">In all cases where Buildings Regulations was not obtained, the lawyer should advise their client and the surveyor that </w:t>
            </w:r>
            <w:r w:rsidR="00756010">
              <w:rPr>
                <w:b/>
                <w:i/>
                <w:sz w:val="20"/>
              </w:rPr>
              <w:t xml:space="preserve">Local Authority consent was not obtained for the </w:t>
            </w:r>
            <w:proofErr w:type="gramStart"/>
            <w:r w:rsidR="00756010">
              <w:rPr>
                <w:b/>
                <w:i/>
                <w:sz w:val="20"/>
              </w:rPr>
              <w:t>work</w:t>
            </w:r>
            <w:proofErr w:type="gramEnd"/>
            <w:r>
              <w:rPr>
                <w:b/>
                <w:i/>
                <w:sz w:val="20"/>
              </w:rPr>
              <w:t xml:space="preserve"> and the surveyor</w:t>
            </w:r>
            <w:r w:rsidR="00756010">
              <w:rPr>
                <w:b/>
                <w:i/>
                <w:sz w:val="20"/>
              </w:rPr>
              <w:t>/valuer</w:t>
            </w:r>
            <w:r>
              <w:rPr>
                <w:b/>
                <w:i/>
                <w:sz w:val="20"/>
              </w:rPr>
              <w:t xml:space="preserve"> should confirm it is structurally sound and value the property on this basis.</w:t>
            </w:r>
            <w:r w:rsidR="00E16D3A">
              <w:rPr>
                <w:b/>
                <w:i/>
                <w:sz w:val="20"/>
              </w:rPr>
              <w:t xml:space="preserve"> </w:t>
            </w:r>
            <w:r w:rsidR="007A425F">
              <w:rPr>
                <w:b/>
                <w:i/>
                <w:sz w:val="20"/>
              </w:rPr>
              <w:t xml:space="preserve">Clients should be advised that lack of Buildings Regulations may indicate a lack of building safety </w:t>
            </w:r>
            <w:r w:rsidR="00B358F4">
              <w:rPr>
                <w:b/>
                <w:i/>
                <w:sz w:val="20"/>
              </w:rPr>
              <w:t>compliance,</w:t>
            </w:r>
            <w:r w:rsidR="007A425F">
              <w:rPr>
                <w:b/>
                <w:i/>
                <w:sz w:val="20"/>
              </w:rPr>
              <w:t xml:space="preserve"> and a survey is recommended in any event to establish risk to life.</w:t>
            </w:r>
          </w:p>
        </w:tc>
      </w:tr>
      <w:tr w:rsidR="007F35DF" w14:paraId="0ADFBB1B" w14:textId="77777777" w:rsidTr="00CC4301">
        <w:tblPrEx>
          <w:tblCellMar>
            <w:top w:w="7" w:type="dxa"/>
            <w:left w:w="107" w:type="dxa"/>
            <w:right w:w="54" w:type="dxa"/>
          </w:tblCellMar>
        </w:tblPrEx>
        <w:trPr>
          <w:trHeight w:val="1962"/>
        </w:trPr>
        <w:tc>
          <w:tcPr>
            <w:tcW w:w="3355" w:type="dxa"/>
            <w:gridSpan w:val="3"/>
            <w:tcBorders>
              <w:top w:val="single" w:sz="4" w:space="0" w:color="000000"/>
              <w:left w:val="single" w:sz="4" w:space="0" w:color="000000"/>
              <w:bottom w:val="single" w:sz="4" w:space="0" w:color="000000"/>
              <w:right w:val="single" w:sz="4" w:space="0" w:color="000000"/>
            </w:tcBorders>
            <w:shd w:val="clear" w:color="auto" w:fill="EAD5EF"/>
          </w:tcPr>
          <w:p w14:paraId="5F8D3ED1" w14:textId="77777777" w:rsidR="000360F1" w:rsidRDefault="00B512BB" w:rsidP="00122A9E">
            <w:pPr>
              <w:shd w:val="clear" w:color="auto" w:fill="EAD5EF"/>
              <w:spacing w:after="0" w:line="259" w:lineRule="auto"/>
              <w:ind w:left="0" w:right="0" w:firstLine="0"/>
              <w:jc w:val="left"/>
            </w:pPr>
            <w:r>
              <w:rPr>
                <w:b/>
                <w:sz w:val="20"/>
              </w:rPr>
              <w:t xml:space="preserve"> </w:t>
            </w:r>
          </w:p>
          <w:p w14:paraId="48AFD1D5" w14:textId="77777777" w:rsidR="000360F1" w:rsidRDefault="00B512BB" w:rsidP="00122A9E">
            <w:pPr>
              <w:shd w:val="clear" w:color="auto" w:fill="EAD5EF"/>
              <w:spacing w:after="0" w:line="259" w:lineRule="auto"/>
              <w:ind w:left="0" w:right="0" w:firstLine="0"/>
              <w:jc w:val="left"/>
            </w:pPr>
            <w:r>
              <w:rPr>
                <w:b/>
                <w:sz w:val="20"/>
              </w:rPr>
              <w:t xml:space="preserve">4.1 Technical Issues </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11C687" w14:textId="77777777" w:rsidR="000360F1" w:rsidRDefault="00B512BB" w:rsidP="00122A9E">
            <w:pPr>
              <w:shd w:val="clear" w:color="auto" w:fill="F2F2F2" w:themeFill="background1" w:themeFillShade="F2"/>
              <w:spacing w:after="0" w:line="259" w:lineRule="auto"/>
              <w:ind w:left="0" w:right="0" w:firstLine="0"/>
              <w:jc w:val="left"/>
            </w:pPr>
            <w:r>
              <w:rPr>
                <w:sz w:val="20"/>
              </w:rPr>
              <w:t xml:space="preserve"> </w:t>
            </w:r>
          </w:p>
          <w:p w14:paraId="70F9DCF7" w14:textId="77777777" w:rsidR="000360F1" w:rsidRDefault="00B512BB" w:rsidP="007F35DF">
            <w:pPr>
              <w:spacing w:after="0" w:line="259" w:lineRule="auto"/>
              <w:ind w:left="0" w:right="0" w:firstLine="0"/>
              <w:jc w:val="left"/>
            </w:pPr>
            <w:r w:rsidRPr="00122A9E">
              <w:rPr>
                <w:sz w:val="20"/>
                <w:shd w:val="clear" w:color="auto" w:fill="F2F2F2" w:themeFill="background1" w:themeFillShade="F2"/>
              </w:rPr>
              <w:t>Restrictive Covenants</w:t>
            </w:r>
            <w:r>
              <w:rPr>
                <w:sz w:val="20"/>
              </w:rPr>
              <w:t xml:space="preserve"> </w:t>
            </w:r>
          </w:p>
        </w:tc>
        <w:tc>
          <w:tcPr>
            <w:tcW w:w="4905" w:type="dxa"/>
            <w:tcBorders>
              <w:top w:val="single" w:sz="4" w:space="0" w:color="000000"/>
              <w:left w:val="single" w:sz="4" w:space="0" w:color="000000"/>
              <w:bottom w:val="single" w:sz="4" w:space="0" w:color="000000"/>
              <w:right w:val="single" w:sz="4" w:space="0" w:color="000000"/>
            </w:tcBorders>
          </w:tcPr>
          <w:p w14:paraId="3C9EEB36" w14:textId="77777777" w:rsidR="000360F1" w:rsidRDefault="00B512BB" w:rsidP="007F35DF">
            <w:pPr>
              <w:spacing w:after="0" w:line="259" w:lineRule="auto"/>
              <w:ind w:left="4" w:right="0" w:firstLine="0"/>
              <w:jc w:val="left"/>
            </w:pPr>
            <w:r>
              <w:rPr>
                <w:b/>
                <w:sz w:val="20"/>
              </w:rPr>
              <w:t xml:space="preserve"> </w:t>
            </w:r>
          </w:p>
          <w:p w14:paraId="37B25DA5" w14:textId="28C13F0C" w:rsidR="000360F1" w:rsidRDefault="00B512BB" w:rsidP="007F35DF">
            <w:pPr>
              <w:spacing w:after="0" w:line="241" w:lineRule="auto"/>
              <w:ind w:left="4" w:right="0" w:firstLine="0"/>
              <w:jc w:val="left"/>
            </w:pPr>
            <w:r>
              <w:rPr>
                <w:b/>
                <w:sz w:val="20"/>
              </w:rPr>
              <w:t xml:space="preserve">Missing </w:t>
            </w:r>
            <w:r w:rsidR="00B358F4">
              <w:rPr>
                <w:b/>
                <w:sz w:val="20"/>
              </w:rPr>
              <w:t>pre-1925</w:t>
            </w:r>
            <w:r>
              <w:rPr>
                <w:b/>
                <w:sz w:val="20"/>
              </w:rPr>
              <w:t xml:space="preserve"> documents containing restrictive covenants. </w:t>
            </w:r>
          </w:p>
          <w:p w14:paraId="50BF536A" w14:textId="77777777" w:rsidR="000360F1" w:rsidRDefault="00B512BB" w:rsidP="007F35DF">
            <w:pPr>
              <w:spacing w:after="0" w:line="259" w:lineRule="auto"/>
              <w:ind w:left="136" w:right="0" w:firstLine="0"/>
              <w:jc w:val="left"/>
            </w:pPr>
            <w:r>
              <w:rPr>
                <w:b/>
                <w:color w:val="993300"/>
                <w:sz w:val="20"/>
              </w:rPr>
              <w:t xml:space="preserve"> </w:t>
            </w:r>
          </w:p>
          <w:p w14:paraId="56EFE67E" w14:textId="3280CC4A" w:rsidR="000360F1" w:rsidRDefault="00B512BB" w:rsidP="007F35DF">
            <w:pPr>
              <w:spacing w:after="31" w:line="237" w:lineRule="auto"/>
              <w:ind w:left="38" w:right="57" w:hanging="34"/>
              <w:jc w:val="left"/>
            </w:pPr>
            <w:r>
              <w:rPr>
                <w:sz w:val="20"/>
              </w:rPr>
              <w:t>Advise the client of the lack of knowledge and there may be a risk of enforcement should the covenantee establish a material breach</w:t>
            </w:r>
            <w:r w:rsidR="007A425F">
              <w:rPr>
                <w:sz w:val="20"/>
              </w:rPr>
              <w:t xml:space="preserve"> and still has land benefit</w:t>
            </w:r>
            <w:r w:rsidR="00C13E35">
              <w:rPr>
                <w:sz w:val="20"/>
              </w:rPr>
              <w:t>ting from the covenants</w:t>
            </w:r>
            <w:r>
              <w:rPr>
                <w:sz w:val="20"/>
              </w:rPr>
              <w:t>. Advise as to</w:t>
            </w:r>
            <w:r w:rsidR="00D22C52">
              <w:rPr>
                <w:sz w:val="20"/>
              </w:rPr>
              <w:t xml:space="preserve"> </w:t>
            </w:r>
            <w:r>
              <w:rPr>
                <w:sz w:val="20"/>
              </w:rPr>
              <w:t xml:space="preserve">the availability of indemnity insurance at the </w:t>
            </w:r>
            <w:r w:rsidR="00F21D63">
              <w:rPr>
                <w:sz w:val="20"/>
              </w:rPr>
              <w:t>buyer’s</w:t>
            </w:r>
            <w:r>
              <w:rPr>
                <w:sz w:val="20"/>
              </w:rPr>
              <w:t xml:space="preserve"> cost.</w:t>
            </w:r>
            <w:r>
              <w:rPr>
                <w:sz w:val="20"/>
                <w:vertAlign w:val="superscript"/>
              </w:rPr>
              <w:footnoteReference w:id="30"/>
            </w:r>
            <w:r>
              <w:rPr>
                <w:sz w:val="20"/>
              </w:rPr>
              <w:t xml:space="preserve"> </w:t>
            </w:r>
          </w:p>
          <w:p w14:paraId="4C6A5992" w14:textId="77777777" w:rsidR="000360F1" w:rsidRDefault="00B512BB" w:rsidP="007F35DF">
            <w:pPr>
              <w:spacing w:after="0" w:line="259" w:lineRule="auto"/>
              <w:ind w:left="136" w:right="0" w:firstLine="0"/>
              <w:jc w:val="left"/>
            </w:pPr>
            <w:r>
              <w:rPr>
                <w:sz w:val="20"/>
              </w:rPr>
              <w:t xml:space="preserve"> </w:t>
            </w:r>
          </w:p>
          <w:p w14:paraId="0B5A5CDC" w14:textId="1229F26D" w:rsidR="000360F1" w:rsidRDefault="00B512BB" w:rsidP="00122A9E">
            <w:pPr>
              <w:spacing w:after="120" w:line="240" w:lineRule="auto"/>
              <w:ind w:left="4" w:right="0" w:firstLine="0"/>
              <w:jc w:val="left"/>
            </w:pPr>
            <w:r>
              <w:rPr>
                <w:b/>
                <w:sz w:val="20"/>
              </w:rPr>
              <w:t xml:space="preserve">Missing </w:t>
            </w:r>
            <w:r w:rsidR="00F21D63">
              <w:rPr>
                <w:b/>
                <w:sz w:val="20"/>
              </w:rPr>
              <w:t>post-1925</w:t>
            </w:r>
            <w:r>
              <w:rPr>
                <w:b/>
                <w:sz w:val="20"/>
              </w:rPr>
              <w:t xml:space="preserve"> documents containing restrictive covenants </w:t>
            </w:r>
          </w:p>
          <w:p w14:paraId="04ABC479" w14:textId="04DB3B66" w:rsidR="000360F1" w:rsidRPr="008070BC" w:rsidRDefault="00B512BB" w:rsidP="00122A9E">
            <w:pPr>
              <w:numPr>
                <w:ilvl w:val="0"/>
                <w:numId w:val="6"/>
              </w:numPr>
              <w:spacing w:after="120" w:line="240" w:lineRule="auto"/>
              <w:ind w:left="363" w:right="34" w:hanging="357"/>
              <w:jc w:val="left"/>
            </w:pPr>
            <w:r>
              <w:rPr>
                <w:sz w:val="20"/>
              </w:rPr>
              <w:t>If the document containing the covenants is dated before the date of first registration, a Land Charges Search against the original covenantor</w:t>
            </w:r>
            <w:r w:rsidR="00003614">
              <w:rPr>
                <w:sz w:val="20"/>
              </w:rPr>
              <w:t>, noting the current County and the County at the time of the covenant,</w:t>
            </w:r>
            <w:r>
              <w:rPr>
                <w:sz w:val="20"/>
              </w:rPr>
              <w:t xml:space="preserve"> may reveal that the covenants were not protected by a D(II) registration. In which case the Land Registry should remove reference to the covenants for the Charges Register, upon application</w:t>
            </w:r>
            <w:r>
              <w:rPr>
                <w:sz w:val="20"/>
                <w:vertAlign w:val="superscript"/>
              </w:rPr>
              <w:footnoteReference w:id="31"/>
            </w:r>
            <w:r>
              <w:rPr>
                <w:sz w:val="20"/>
              </w:rPr>
              <w:t>; otherwise</w:t>
            </w:r>
            <w:r w:rsidR="001B55D3">
              <w:rPr>
                <w:sz w:val="20"/>
              </w:rPr>
              <w:t>:</w:t>
            </w:r>
            <w:r>
              <w:rPr>
                <w:sz w:val="20"/>
              </w:rPr>
              <w:t xml:space="preserve">  </w:t>
            </w:r>
          </w:p>
          <w:p w14:paraId="0622B77A" w14:textId="698268D5" w:rsidR="00D904EA" w:rsidRPr="005826CC" w:rsidRDefault="00B512BB" w:rsidP="00122A9E">
            <w:pPr>
              <w:numPr>
                <w:ilvl w:val="0"/>
                <w:numId w:val="6"/>
              </w:numPr>
              <w:spacing w:after="120" w:line="240" w:lineRule="auto"/>
              <w:ind w:left="363" w:right="34" w:hanging="360"/>
              <w:jc w:val="left"/>
            </w:pPr>
            <w:r>
              <w:rPr>
                <w:sz w:val="20"/>
              </w:rPr>
              <w:t>If the Seller can confirm no material changes have been</w:t>
            </w:r>
            <w:r w:rsidR="008070BC">
              <w:rPr>
                <w:sz w:val="20"/>
              </w:rPr>
              <w:t xml:space="preserve"> undertaken to the property or to</w:t>
            </w:r>
            <w:r>
              <w:rPr>
                <w:sz w:val="20"/>
              </w:rPr>
              <w:t xml:space="preserve"> the use of the property within the last 20 years and no enforcement action is being taken or </w:t>
            </w:r>
            <w:r w:rsidR="00D904EA">
              <w:rPr>
                <w:sz w:val="20"/>
              </w:rPr>
              <w:t>threatened</w:t>
            </w:r>
            <w:r w:rsidR="00D904EA">
              <w:rPr>
                <w:sz w:val="20"/>
                <w:vertAlign w:val="superscript"/>
              </w:rPr>
              <w:footnoteReference w:id="32"/>
            </w:r>
            <w:r w:rsidR="00D904EA">
              <w:rPr>
                <w:sz w:val="20"/>
              </w:rPr>
              <w:t xml:space="preserve">; consider the need for an indemnity insurance policy at the buyer’s cost only if you consider there is a material </w:t>
            </w:r>
            <w:r w:rsidR="00F21D63">
              <w:rPr>
                <w:sz w:val="20"/>
              </w:rPr>
              <w:t>risk,</w:t>
            </w:r>
            <w:r w:rsidR="00D904EA">
              <w:rPr>
                <w:sz w:val="20"/>
              </w:rPr>
              <w:t xml:space="preserve"> and a suitable policy is available to mitigate the risk; otherwise</w:t>
            </w:r>
            <w:r w:rsidR="001B55D3">
              <w:rPr>
                <w:sz w:val="20"/>
              </w:rPr>
              <w:t>:</w:t>
            </w:r>
          </w:p>
          <w:p w14:paraId="5457B39B" w14:textId="4AFC96BC" w:rsidR="008070BC" w:rsidRPr="008070BC" w:rsidRDefault="00D904EA" w:rsidP="00122A9E">
            <w:pPr>
              <w:pStyle w:val="ListParagraph"/>
              <w:numPr>
                <w:ilvl w:val="0"/>
                <w:numId w:val="11"/>
              </w:numPr>
              <w:spacing w:after="120" w:line="240" w:lineRule="auto"/>
              <w:ind w:left="357" w:right="34" w:hanging="357"/>
              <w:jc w:val="left"/>
            </w:pPr>
            <w:r w:rsidRPr="00122A9E">
              <w:rPr>
                <w:sz w:val="20"/>
              </w:rPr>
              <w:t xml:space="preserve">If the Seller is unable to confirm </w:t>
            </w:r>
            <w:r w:rsidR="008070BC" w:rsidRPr="00122A9E">
              <w:rPr>
                <w:sz w:val="20"/>
              </w:rPr>
              <w:t xml:space="preserve">whether there have been changes of external structure or use within the last 20 </w:t>
            </w:r>
            <w:r w:rsidR="00F21D63" w:rsidRPr="00122A9E">
              <w:rPr>
                <w:sz w:val="20"/>
              </w:rPr>
              <w:t>years,</w:t>
            </w:r>
            <w:r w:rsidR="008070BC" w:rsidRPr="00122A9E">
              <w:rPr>
                <w:sz w:val="20"/>
              </w:rPr>
              <w:t xml:space="preserve"> consider the need for an indemnity insurance policy at the seller’s cost only if you consider there is a material </w:t>
            </w:r>
            <w:r w:rsidR="00F21D63" w:rsidRPr="00122A9E">
              <w:rPr>
                <w:sz w:val="20"/>
              </w:rPr>
              <w:t>risk,</w:t>
            </w:r>
            <w:r w:rsidR="008070BC" w:rsidRPr="00122A9E">
              <w:rPr>
                <w:sz w:val="20"/>
              </w:rPr>
              <w:t xml:space="preserve"> and a suitable policy is available to mitigate the risk; otherwise</w:t>
            </w:r>
            <w:r w:rsidR="001B55D3">
              <w:rPr>
                <w:sz w:val="20"/>
              </w:rPr>
              <w:t>:</w:t>
            </w:r>
          </w:p>
          <w:p w14:paraId="52EA8AE8" w14:textId="43738772" w:rsidR="000360F1" w:rsidRDefault="00B512BB" w:rsidP="00122A9E">
            <w:pPr>
              <w:numPr>
                <w:ilvl w:val="0"/>
                <w:numId w:val="6"/>
              </w:numPr>
              <w:spacing w:after="120" w:line="259" w:lineRule="auto"/>
              <w:ind w:left="363" w:right="34" w:hanging="357"/>
              <w:jc w:val="left"/>
            </w:pPr>
            <w:r>
              <w:rPr>
                <w:sz w:val="20"/>
              </w:rPr>
              <w:t xml:space="preserve">If changes have been made to the property within the last 20 years </w:t>
            </w:r>
            <w:r w:rsidR="00E16D3A">
              <w:rPr>
                <w:sz w:val="20"/>
              </w:rPr>
              <w:t>e.g.</w:t>
            </w:r>
            <w:r>
              <w:rPr>
                <w:sz w:val="20"/>
              </w:rPr>
              <w:t xml:space="preserve"> external structural alterations or additions</w:t>
            </w:r>
            <w:r w:rsidR="008070BC">
              <w:rPr>
                <w:sz w:val="20"/>
              </w:rPr>
              <w:t>,</w:t>
            </w:r>
            <w:r>
              <w:rPr>
                <w:sz w:val="20"/>
              </w:rPr>
              <w:t xml:space="preserve"> or change of use, advise the </w:t>
            </w:r>
            <w:r w:rsidR="00D22C52">
              <w:rPr>
                <w:sz w:val="20"/>
              </w:rPr>
              <w:t xml:space="preserve">seller they have a defective </w:t>
            </w:r>
            <w:r w:rsidR="001B55D3">
              <w:rPr>
                <w:sz w:val="20"/>
              </w:rPr>
              <w:t>T</w:t>
            </w:r>
            <w:r w:rsidR="00D22C52">
              <w:rPr>
                <w:sz w:val="20"/>
              </w:rPr>
              <w:t>itle which requires indemnity insurance.</w:t>
            </w:r>
            <w:r w:rsidR="00D22C52">
              <w:rPr>
                <w:sz w:val="20"/>
                <w:vertAlign w:val="superscript"/>
              </w:rPr>
              <w:footnoteReference w:id="33"/>
            </w:r>
          </w:p>
        </w:tc>
      </w:tr>
      <w:tr w:rsidR="000D3805" w14:paraId="0D65E353" w14:textId="77777777" w:rsidTr="001B55D3">
        <w:tblPrEx>
          <w:tblCellMar>
            <w:top w:w="7" w:type="dxa"/>
            <w:left w:w="107" w:type="dxa"/>
            <w:right w:w="54" w:type="dxa"/>
          </w:tblCellMar>
        </w:tblPrEx>
        <w:trPr>
          <w:trHeight w:val="5228"/>
        </w:trPr>
        <w:tc>
          <w:tcPr>
            <w:tcW w:w="3355" w:type="dxa"/>
            <w:gridSpan w:val="3"/>
            <w:tcBorders>
              <w:top w:val="single" w:sz="4" w:space="0" w:color="000000"/>
              <w:left w:val="single" w:sz="4" w:space="0" w:color="000000"/>
              <w:bottom w:val="single" w:sz="4" w:space="0" w:color="000000"/>
              <w:right w:val="single" w:sz="4" w:space="0" w:color="000000"/>
            </w:tcBorders>
            <w:shd w:val="clear" w:color="auto" w:fill="EAD5EF"/>
          </w:tcPr>
          <w:p w14:paraId="44199F99" w14:textId="77777777" w:rsidR="000360F1" w:rsidRDefault="000360F1" w:rsidP="007F35DF">
            <w:pPr>
              <w:spacing w:after="160" w:line="259" w:lineRule="auto"/>
              <w:ind w:left="0" w:right="0" w:firstLine="0"/>
              <w:jc w:val="left"/>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0C918B" w14:textId="77777777" w:rsidR="000360F1" w:rsidRDefault="000360F1" w:rsidP="007F35DF">
            <w:pPr>
              <w:spacing w:after="160" w:line="259" w:lineRule="auto"/>
              <w:ind w:left="0" w:right="0" w:firstLine="0"/>
              <w:jc w:val="left"/>
            </w:pPr>
          </w:p>
        </w:tc>
        <w:tc>
          <w:tcPr>
            <w:tcW w:w="4905" w:type="dxa"/>
            <w:tcBorders>
              <w:top w:val="single" w:sz="4" w:space="0" w:color="000000"/>
              <w:left w:val="single" w:sz="4" w:space="0" w:color="000000"/>
              <w:bottom w:val="single" w:sz="4" w:space="0" w:color="000000"/>
              <w:right w:val="single" w:sz="4" w:space="0" w:color="000000"/>
            </w:tcBorders>
          </w:tcPr>
          <w:p w14:paraId="46944349" w14:textId="77777777" w:rsidR="000360F1" w:rsidRDefault="00B512BB" w:rsidP="007F35DF">
            <w:pPr>
              <w:spacing w:after="0" w:line="259" w:lineRule="auto"/>
              <w:ind w:left="136" w:right="0" w:firstLine="0"/>
              <w:jc w:val="left"/>
            </w:pPr>
            <w:r>
              <w:rPr>
                <w:sz w:val="20"/>
              </w:rPr>
              <w:t xml:space="preserve"> </w:t>
            </w:r>
          </w:p>
          <w:p w14:paraId="40E612F9" w14:textId="521BBF82" w:rsidR="000360F1" w:rsidRDefault="00B512BB" w:rsidP="007F35DF">
            <w:pPr>
              <w:spacing w:after="4" w:line="240" w:lineRule="auto"/>
              <w:ind w:left="136" w:right="0" w:firstLine="0"/>
              <w:jc w:val="left"/>
            </w:pPr>
            <w:r>
              <w:rPr>
                <w:b/>
                <w:sz w:val="20"/>
              </w:rPr>
              <w:t xml:space="preserve">Breach of a known Restrictive Covenant carried out within the </w:t>
            </w:r>
            <w:r w:rsidR="002E79B3">
              <w:rPr>
                <w:b/>
                <w:sz w:val="20"/>
              </w:rPr>
              <w:t xml:space="preserve">last </w:t>
            </w:r>
            <w:r>
              <w:rPr>
                <w:b/>
                <w:sz w:val="20"/>
              </w:rPr>
              <w:t xml:space="preserve">20 years without consent or waiver of the </w:t>
            </w:r>
            <w:r w:rsidR="00F21D63">
              <w:rPr>
                <w:b/>
                <w:sz w:val="20"/>
              </w:rPr>
              <w:t>covenant and</w:t>
            </w:r>
            <w:r w:rsidR="00220C10">
              <w:rPr>
                <w:b/>
                <w:sz w:val="20"/>
              </w:rPr>
              <w:t xml:space="preserve"> where it is explicit that the breach of the covenant binds successors in </w:t>
            </w:r>
            <w:r w:rsidR="001B55D3">
              <w:rPr>
                <w:b/>
                <w:sz w:val="20"/>
              </w:rPr>
              <w:t>T</w:t>
            </w:r>
            <w:r w:rsidR="00220C10">
              <w:rPr>
                <w:b/>
                <w:sz w:val="20"/>
              </w:rPr>
              <w:t>itle</w:t>
            </w:r>
            <w:r w:rsidR="001B55D3">
              <w:rPr>
                <w:b/>
                <w:sz w:val="20"/>
              </w:rPr>
              <w:t>:</w:t>
            </w:r>
            <w:r w:rsidR="00220C10">
              <w:rPr>
                <w:rStyle w:val="FootnoteReference"/>
                <w:b/>
                <w:sz w:val="20"/>
              </w:rPr>
              <w:footnoteReference w:id="34"/>
            </w:r>
          </w:p>
          <w:p w14:paraId="5572B0EC" w14:textId="77777777" w:rsidR="000360F1" w:rsidRDefault="00B512BB" w:rsidP="007F35DF">
            <w:pPr>
              <w:spacing w:after="0" w:line="259" w:lineRule="auto"/>
              <w:ind w:left="136" w:right="0" w:firstLine="0"/>
              <w:jc w:val="left"/>
            </w:pPr>
            <w:r>
              <w:rPr>
                <w:sz w:val="20"/>
              </w:rPr>
              <w:t xml:space="preserve"> </w:t>
            </w:r>
          </w:p>
          <w:p w14:paraId="2BFA3F1A" w14:textId="37D36EDD" w:rsidR="000360F1" w:rsidRDefault="00B512BB" w:rsidP="007F35DF">
            <w:pPr>
              <w:numPr>
                <w:ilvl w:val="0"/>
                <w:numId w:val="7"/>
              </w:numPr>
              <w:spacing w:after="18" w:line="239" w:lineRule="auto"/>
              <w:ind w:right="0" w:hanging="336"/>
              <w:jc w:val="left"/>
            </w:pPr>
            <w:r>
              <w:rPr>
                <w:sz w:val="20"/>
              </w:rPr>
              <w:t xml:space="preserve">Breach over 12 months old: a defective </w:t>
            </w:r>
            <w:r w:rsidR="001B55D3">
              <w:rPr>
                <w:sz w:val="20"/>
              </w:rPr>
              <w:t>T</w:t>
            </w:r>
            <w:r>
              <w:rPr>
                <w:sz w:val="20"/>
              </w:rPr>
              <w:t xml:space="preserve">itle indemnity insurance </w:t>
            </w:r>
            <w:r w:rsidR="002E79B3">
              <w:rPr>
                <w:sz w:val="20"/>
              </w:rPr>
              <w:t xml:space="preserve">policy </w:t>
            </w:r>
            <w:r>
              <w:rPr>
                <w:sz w:val="20"/>
              </w:rPr>
              <w:t>should be supplied by the seller.</w:t>
            </w:r>
            <w:r>
              <w:rPr>
                <w:sz w:val="20"/>
                <w:vertAlign w:val="superscript"/>
              </w:rPr>
              <w:footnoteReference w:id="35"/>
            </w:r>
            <w:r>
              <w:rPr>
                <w:sz w:val="20"/>
              </w:rPr>
              <w:t xml:space="preserve"> </w:t>
            </w:r>
          </w:p>
          <w:p w14:paraId="3A539B77" w14:textId="4550F551" w:rsidR="000360F1" w:rsidRDefault="00B512BB" w:rsidP="007F35DF">
            <w:pPr>
              <w:numPr>
                <w:ilvl w:val="0"/>
                <w:numId w:val="7"/>
              </w:numPr>
              <w:spacing w:after="0" w:line="255" w:lineRule="auto"/>
              <w:ind w:right="0" w:hanging="336"/>
              <w:jc w:val="left"/>
            </w:pPr>
            <w:r>
              <w:rPr>
                <w:sz w:val="20"/>
              </w:rPr>
              <w:t>Breach under 12 months</w:t>
            </w:r>
            <w:r w:rsidR="001B55D3">
              <w:rPr>
                <w:sz w:val="20"/>
              </w:rPr>
              <w:t>:</w:t>
            </w:r>
            <w:r>
              <w:rPr>
                <w:sz w:val="20"/>
              </w:rPr>
              <w:t xml:space="preserve"> either obtain a bespoke indemnity insurance policy or require retrospective consent at the seller’s expense. </w:t>
            </w:r>
          </w:p>
          <w:p w14:paraId="348007F6" w14:textId="77777777" w:rsidR="000360F1" w:rsidRDefault="00B512BB" w:rsidP="007F35DF">
            <w:pPr>
              <w:spacing w:after="0" w:line="259" w:lineRule="auto"/>
              <w:ind w:left="136" w:right="0" w:firstLine="0"/>
              <w:jc w:val="left"/>
            </w:pPr>
            <w:r>
              <w:rPr>
                <w:sz w:val="20"/>
              </w:rPr>
              <w:t xml:space="preserve"> </w:t>
            </w:r>
          </w:p>
          <w:p w14:paraId="7DAC74EE" w14:textId="6BC8F5B0" w:rsidR="001B55D3" w:rsidRDefault="001B55D3" w:rsidP="001B55D3">
            <w:pPr>
              <w:spacing w:line="239" w:lineRule="auto"/>
              <w:ind w:left="136" w:right="0" w:firstLine="0"/>
              <w:jc w:val="left"/>
              <w:rPr>
                <w:sz w:val="20"/>
              </w:rPr>
            </w:pPr>
            <w:r>
              <w:rPr>
                <w:b/>
                <w:sz w:val="20"/>
              </w:rPr>
              <w:t>Breach of a known Restrictive Covenant where the breach of the covenant does not bind successors in Title</w:t>
            </w:r>
            <w:r>
              <w:rPr>
                <w:rStyle w:val="FootnoteReference"/>
                <w:b/>
                <w:sz w:val="20"/>
              </w:rPr>
              <w:footnoteReference w:id="36"/>
            </w:r>
            <w:r>
              <w:rPr>
                <w:b/>
                <w:sz w:val="20"/>
              </w:rPr>
              <w:t xml:space="preserve"> or the breach was carried out over 20 years ago:</w:t>
            </w:r>
            <w:r>
              <w:rPr>
                <w:sz w:val="20"/>
              </w:rPr>
              <w:t xml:space="preserve"> </w:t>
            </w:r>
          </w:p>
          <w:p w14:paraId="53D49341" w14:textId="77777777" w:rsidR="001B55D3" w:rsidRDefault="001B55D3" w:rsidP="001B55D3">
            <w:pPr>
              <w:spacing w:line="239" w:lineRule="auto"/>
              <w:ind w:left="136" w:right="0" w:firstLine="0"/>
              <w:jc w:val="left"/>
            </w:pPr>
          </w:p>
          <w:p w14:paraId="623B0619" w14:textId="43092CFD" w:rsidR="000360F1" w:rsidRDefault="00B512BB" w:rsidP="001B55D3">
            <w:pPr>
              <w:spacing w:after="0" w:line="259" w:lineRule="auto"/>
              <w:ind w:left="136" w:right="0" w:firstLine="0"/>
              <w:jc w:val="left"/>
            </w:pPr>
            <w:r>
              <w:rPr>
                <w:sz w:val="20"/>
              </w:rPr>
              <w:t>No further action required,</w:t>
            </w:r>
            <w:r>
              <w:rPr>
                <w:sz w:val="20"/>
                <w:vertAlign w:val="superscript"/>
              </w:rPr>
              <w:footnoteReference w:id="37"/>
            </w:r>
            <w:r>
              <w:rPr>
                <w:sz w:val="20"/>
              </w:rPr>
              <w:t xml:space="preserve"> provided the seller confirms no enforcement acti</w:t>
            </w:r>
            <w:r w:rsidR="00D22C52">
              <w:rPr>
                <w:sz w:val="20"/>
              </w:rPr>
              <w:t>on is being taken or threatened</w:t>
            </w:r>
            <w:r w:rsidR="00CC4301">
              <w:rPr>
                <w:sz w:val="20"/>
              </w:rPr>
              <w:t>.</w:t>
            </w:r>
          </w:p>
        </w:tc>
      </w:tr>
    </w:tbl>
    <w:p w14:paraId="50E512D0" w14:textId="77777777" w:rsidR="009726F8" w:rsidRDefault="009726F8">
      <w:r>
        <w:br w:type="page"/>
      </w:r>
    </w:p>
    <w:tbl>
      <w:tblPr>
        <w:tblStyle w:val="TableGrid"/>
        <w:tblpPr w:leftFromText="180" w:rightFromText="180" w:vertAnchor="text" w:tblpX="-122" w:tblpY="1"/>
        <w:tblOverlap w:val="never"/>
        <w:tblW w:w="10475" w:type="dxa"/>
        <w:tblInd w:w="0" w:type="dxa"/>
        <w:tblLayout w:type="fixed"/>
        <w:tblCellMar>
          <w:top w:w="7" w:type="dxa"/>
          <w:left w:w="107" w:type="dxa"/>
          <w:right w:w="54" w:type="dxa"/>
        </w:tblCellMar>
        <w:tblLook w:val="04A0" w:firstRow="1" w:lastRow="0" w:firstColumn="1" w:lastColumn="0" w:noHBand="0" w:noVBand="1"/>
      </w:tblPr>
      <w:tblGrid>
        <w:gridCol w:w="3355"/>
        <w:gridCol w:w="2215"/>
        <w:gridCol w:w="4905"/>
      </w:tblGrid>
      <w:tr w:rsidR="007F35DF" w14:paraId="433AF13E" w14:textId="77777777" w:rsidTr="009726F8">
        <w:trPr>
          <w:trHeight w:val="545"/>
        </w:trPr>
        <w:tc>
          <w:tcPr>
            <w:tcW w:w="3355" w:type="dxa"/>
            <w:tcBorders>
              <w:top w:val="single" w:sz="4" w:space="0" w:color="000000"/>
              <w:left w:val="single" w:sz="4" w:space="0" w:color="000000"/>
              <w:bottom w:val="single" w:sz="4" w:space="0" w:color="000000"/>
              <w:right w:val="single" w:sz="4" w:space="0" w:color="000000"/>
            </w:tcBorders>
            <w:shd w:val="clear" w:color="auto" w:fill="EAD5EF"/>
          </w:tcPr>
          <w:p w14:paraId="18CE8C65" w14:textId="39A02CD7" w:rsidR="000360F1" w:rsidRDefault="00B512BB" w:rsidP="007F35DF">
            <w:pPr>
              <w:spacing w:after="0" w:line="259" w:lineRule="auto"/>
              <w:ind w:left="0" w:right="0" w:firstLine="0"/>
              <w:jc w:val="left"/>
            </w:pPr>
            <w:r>
              <w:rPr>
                <w:b/>
                <w:sz w:val="20"/>
              </w:rPr>
              <w:t xml:space="preserve"> </w:t>
            </w:r>
          </w:p>
          <w:p w14:paraId="46ECBCBB" w14:textId="77777777" w:rsidR="000360F1" w:rsidRDefault="00B512BB" w:rsidP="007F35DF">
            <w:pPr>
              <w:spacing w:after="0" w:line="259" w:lineRule="auto"/>
              <w:ind w:left="0" w:right="0" w:firstLine="0"/>
              <w:jc w:val="left"/>
            </w:pPr>
            <w:r>
              <w:rPr>
                <w:b/>
                <w:sz w:val="20"/>
              </w:rPr>
              <w:t xml:space="preserve">4.2 Technical Issues </w:t>
            </w:r>
          </w:p>
        </w:tc>
        <w:tc>
          <w:tcPr>
            <w:tcW w:w="22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113B10" w14:textId="77777777" w:rsidR="000360F1" w:rsidRDefault="00B512BB" w:rsidP="007F35DF">
            <w:pPr>
              <w:spacing w:after="0" w:line="259" w:lineRule="auto"/>
              <w:ind w:left="0" w:right="0" w:firstLine="0"/>
              <w:jc w:val="left"/>
            </w:pPr>
            <w:r>
              <w:rPr>
                <w:sz w:val="20"/>
              </w:rPr>
              <w:t xml:space="preserve"> </w:t>
            </w:r>
          </w:p>
          <w:p w14:paraId="47138238" w14:textId="77777777" w:rsidR="000360F1" w:rsidRDefault="00B512BB" w:rsidP="007F35DF">
            <w:pPr>
              <w:spacing w:after="0" w:line="259" w:lineRule="auto"/>
              <w:ind w:left="0" w:right="0" w:firstLine="0"/>
              <w:jc w:val="left"/>
            </w:pPr>
            <w:r>
              <w:rPr>
                <w:sz w:val="20"/>
              </w:rPr>
              <w:t xml:space="preserve">Short Leases </w:t>
            </w:r>
          </w:p>
        </w:tc>
        <w:tc>
          <w:tcPr>
            <w:tcW w:w="4905" w:type="dxa"/>
            <w:tcBorders>
              <w:top w:val="single" w:sz="4" w:space="0" w:color="000000"/>
              <w:left w:val="single" w:sz="4" w:space="0" w:color="000000"/>
              <w:bottom w:val="single" w:sz="4" w:space="0" w:color="000000"/>
              <w:right w:val="single" w:sz="4" w:space="0" w:color="000000"/>
            </w:tcBorders>
          </w:tcPr>
          <w:p w14:paraId="52777B08" w14:textId="77777777" w:rsidR="000360F1" w:rsidRDefault="00B512BB" w:rsidP="007F35DF">
            <w:pPr>
              <w:spacing w:after="0" w:line="259" w:lineRule="auto"/>
              <w:ind w:left="4" w:right="0" w:firstLine="0"/>
              <w:jc w:val="left"/>
            </w:pPr>
            <w:r>
              <w:rPr>
                <w:b/>
                <w:sz w:val="20"/>
              </w:rPr>
              <w:t xml:space="preserve"> </w:t>
            </w:r>
          </w:p>
          <w:p w14:paraId="415438F5" w14:textId="296B8D7B" w:rsidR="002F5494" w:rsidRPr="00865CFE" w:rsidRDefault="002F5494" w:rsidP="00122A9E">
            <w:pPr>
              <w:spacing w:after="21" w:line="238" w:lineRule="auto"/>
              <w:ind w:left="4" w:right="57" w:firstLine="0"/>
              <w:jc w:val="left"/>
              <w:rPr>
                <w:b/>
                <w:sz w:val="20"/>
              </w:rPr>
            </w:pPr>
            <w:r w:rsidRPr="00865CFE">
              <w:rPr>
                <w:b/>
                <w:sz w:val="20"/>
              </w:rPr>
              <w:t>Existing Leases</w:t>
            </w:r>
            <w:r>
              <w:rPr>
                <w:b/>
                <w:sz w:val="20"/>
              </w:rPr>
              <w:t xml:space="preserve"> Only</w:t>
            </w:r>
          </w:p>
          <w:p w14:paraId="4CB7C6D6" w14:textId="731E983D" w:rsidR="000360F1" w:rsidRDefault="00B512BB" w:rsidP="00122A9E">
            <w:pPr>
              <w:spacing w:after="21" w:line="238" w:lineRule="auto"/>
              <w:ind w:left="4" w:right="57" w:firstLine="0"/>
              <w:jc w:val="left"/>
            </w:pPr>
            <w:r>
              <w:rPr>
                <w:sz w:val="20"/>
              </w:rPr>
              <w:t xml:space="preserve">Lease under </w:t>
            </w:r>
            <w:r w:rsidR="002E79B3">
              <w:rPr>
                <w:sz w:val="20"/>
              </w:rPr>
              <w:t>90</w:t>
            </w:r>
            <w:r>
              <w:rPr>
                <w:sz w:val="20"/>
              </w:rPr>
              <w:t xml:space="preserve"> years left to run but over </w:t>
            </w:r>
            <w:r w:rsidR="00AC2D8B">
              <w:rPr>
                <w:sz w:val="20"/>
              </w:rPr>
              <w:t>8</w:t>
            </w:r>
            <w:r>
              <w:rPr>
                <w:sz w:val="20"/>
              </w:rPr>
              <w:t>0 years and acceptable to the lender</w:t>
            </w:r>
            <w:r w:rsidR="002F5494">
              <w:rPr>
                <w:rStyle w:val="FootnoteReference"/>
                <w:sz w:val="20"/>
              </w:rPr>
              <w:footnoteReference w:id="38"/>
            </w:r>
            <w:r>
              <w:rPr>
                <w:sz w:val="20"/>
              </w:rPr>
              <w:t>: the risk and cost associated with short Leases should be reported to the client and their instructions taken to ensure they understand the potential additional costs on sale or remortgage.</w:t>
            </w:r>
            <w:r>
              <w:rPr>
                <w:sz w:val="20"/>
                <w:vertAlign w:val="superscript"/>
              </w:rPr>
              <w:footnoteReference w:id="39"/>
            </w:r>
            <w:r>
              <w:rPr>
                <w:sz w:val="20"/>
              </w:rPr>
              <w:t xml:space="preserve">  </w:t>
            </w:r>
          </w:p>
          <w:p w14:paraId="4153CCEB" w14:textId="77777777" w:rsidR="000360F1" w:rsidRDefault="00B512BB" w:rsidP="007F35DF">
            <w:pPr>
              <w:spacing w:after="0" w:line="259" w:lineRule="auto"/>
              <w:ind w:left="4" w:right="0" w:firstLine="0"/>
              <w:jc w:val="left"/>
            </w:pPr>
            <w:r>
              <w:rPr>
                <w:sz w:val="20"/>
              </w:rPr>
              <w:t xml:space="preserve"> </w:t>
            </w:r>
          </w:p>
          <w:p w14:paraId="46E930A8" w14:textId="5678BBE4" w:rsidR="000360F1" w:rsidRDefault="00B512BB" w:rsidP="00122A9E">
            <w:pPr>
              <w:spacing w:after="0" w:line="250" w:lineRule="auto"/>
              <w:ind w:left="4" w:right="57" w:firstLine="0"/>
              <w:jc w:val="left"/>
              <w:rPr>
                <w:sz w:val="20"/>
              </w:rPr>
            </w:pPr>
            <w:r>
              <w:rPr>
                <w:sz w:val="20"/>
              </w:rPr>
              <w:t xml:space="preserve">Lease </w:t>
            </w:r>
            <w:r w:rsidR="009442D6">
              <w:rPr>
                <w:sz w:val="20"/>
              </w:rPr>
              <w:t>with 80</w:t>
            </w:r>
            <w:r w:rsidR="009442D6">
              <w:rPr>
                <w:rStyle w:val="FootnoteReference"/>
                <w:sz w:val="20"/>
              </w:rPr>
              <w:footnoteReference w:id="40"/>
            </w:r>
            <w:r w:rsidR="009442D6">
              <w:rPr>
                <w:sz w:val="20"/>
              </w:rPr>
              <w:t xml:space="preserve"> or less </w:t>
            </w:r>
            <w:r>
              <w:rPr>
                <w:sz w:val="20"/>
              </w:rPr>
              <w:t>years left to run: Lease Extension required at the seller’s expense</w:t>
            </w:r>
            <w:r w:rsidR="00487299">
              <w:rPr>
                <w:sz w:val="20"/>
              </w:rPr>
              <w:t xml:space="preserve"> where not already reflected in the sale price</w:t>
            </w:r>
            <w:r>
              <w:rPr>
                <w:sz w:val="20"/>
              </w:rPr>
              <w:t>. A fully advised cash buyer</w:t>
            </w:r>
            <w:r w:rsidR="002F5494">
              <w:rPr>
                <w:sz w:val="20"/>
              </w:rPr>
              <w:t>,</w:t>
            </w:r>
            <w:r>
              <w:rPr>
                <w:sz w:val="20"/>
              </w:rPr>
              <w:t xml:space="preserve"> </w:t>
            </w:r>
            <w:r w:rsidR="002F5494">
              <w:rPr>
                <w:sz w:val="20"/>
              </w:rPr>
              <w:t xml:space="preserve">or one obtaining a mortgage from a lender who accepts a shorter term, </w:t>
            </w:r>
            <w:r>
              <w:rPr>
                <w:sz w:val="20"/>
              </w:rPr>
              <w:t xml:space="preserve">of course has the option to instruct their lawyer to proceed without a Lease Extension. </w:t>
            </w:r>
          </w:p>
          <w:p w14:paraId="5E84FD0B" w14:textId="77777777" w:rsidR="009A4838" w:rsidRDefault="009A4838" w:rsidP="007F35DF">
            <w:pPr>
              <w:spacing w:after="0" w:line="250" w:lineRule="auto"/>
              <w:ind w:left="4" w:right="57" w:firstLine="0"/>
              <w:rPr>
                <w:sz w:val="20"/>
              </w:rPr>
            </w:pPr>
          </w:p>
          <w:p w14:paraId="677DFF75" w14:textId="41D7793F" w:rsidR="008344AB" w:rsidRDefault="008344AB" w:rsidP="00942826">
            <w:pPr>
              <w:spacing w:after="0" w:line="250" w:lineRule="auto"/>
              <w:ind w:left="4" w:right="57" w:firstLine="0"/>
              <w:jc w:val="left"/>
            </w:pPr>
            <w:r>
              <w:rPr>
                <w:sz w:val="20"/>
              </w:rPr>
              <w:t xml:space="preserve">NB for those leasehold flats in a Relevant Building in England, </w:t>
            </w:r>
            <w:r w:rsidR="009A4838">
              <w:rPr>
                <w:sz w:val="20"/>
              </w:rPr>
              <w:t xml:space="preserve">check </w:t>
            </w:r>
            <w:r>
              <w:rPr>
                <w:sz w:val="20"/>
              </w:rPr>
              <w:t>wording to extend the qualification of the leasehold interest into the new</w:t>
            </w:r>
            <w:r w:rsidR="009A4838">
              <w:rPr>
                <w:sz w:val="20"/>
              </w:rPr>
              <w:t xml:space="preserve"> connected replacement </w:t>
            </w:r>
            <w:r w:rsidR="009A4838" w:rsidRPr="007F35DF">
              <w:rPr>
                <w:sz w:val="20"/>
                <w:szCs w:val="20"/>
              </w:rPr>
              <w:t xml:space="preserve">lease </w:t>
            </w:r>
            <w:r w:rsidR="009A4838" w:rsidRPr="00122A9E">
              <w:rPr>
                <w:rFonts w:eastAsiaTheme="minorEastAsia"/>
                <w:sz w:val="20"/>
                <w:szCs w:val="20"/>
              </w:rPr>
              <w:t>to</w:t>
            </w:r>
            <w:r w:rsidR="007F35DF" w:rsidRPr="00122A9E">
              <w:rPr>
                <w:rFonts w:eastAsiaTheme="minorEastAsia"/>
                <w:sz w:val="20"/>
                <w:szCs w:val="20"/>
              </w:rPr>
              <w:t xml:space="preserve"> avoid losing qualifying Leaseholder Protections</w:t>
            </w:r>
            <w:r>
              <w:rPr>
                <w:sz w:val="20"/>
              </w:rPr>
              <w:t>.</w:t>
            </w:r>
            <w:r>
              <w:rPr>
                <w:rStyle w:val="FootnoteReference"/>
                <w:sz w:val="20"/>
              </w:rPr>
              <w:footnoteReference w:id="41"/>
            </w:r>
          </w:p>
          <w:p w14:paraId="7AFC7C56" w14:textId="6A7F5958" w:rsidR="000360F1" w:rsidRDefault="000360F1" w:rsidP="007F35DF">
            <w:pPr>
              <w:spacing w:after="0" w:line="259" w:lineRule="auto"/>
              <w:ind w:left="0" w:right="0" w:firstLine="0"/>
              <w:jc w:val="left"/>
            </w:pPr>
          </w:p>
        </w:tc>
      </w:tr>
      <w:tr w:rsidR="007F35DF" w14:paraId="366F008C" w14:textId="77777777" w:rsidTr="009726F8">
        <w:trPr>
          <w:trHeight w:val="2721"/>
        </w:trPr>
        <w:tc>
          <w:tcPr>
            <w:tcW w:w="3355" w:type="dxa"/>
            <w:tcBorders>
              <w:top w:val="single" w:sz="4" w:space="0" w:color="000000"/>
              <w:left w:val="single" w:sz="4" w:space="0" w:color="000000"/>
              <w:bottom w:val="single" w:sz="4" w:space="0" w:color="000000"/>
              <w:right w:val="single" w:sz="4" w:space="0" w:color="000000"/>
            </w:tcBorders>
            <w:shd w:val="clear" w:color="auto" w:fill="EAD5EF"/>
          </w:tcPr>
          <w:p w14:paraId="523C0D9C" w14:textId="77777777" w:rsidR="00040D33" w:rsidRDefault="00040D33" w:rsidP="007F35DF">
            <w:pPr>
              <w:spacing w:after="0" w:line="259" w:lineRule="auto"/>
              <w:ind w:left="0" w:right="0" w:firstLine="0"/>
              <w:jc w:val="left"/>
              <w:rPr>
                <w:b/>
                <w:sz w:val="20"/>
              </w:rPr>
            </w:pPr>
          </w:p>
          <w:p w14:paraId="4745B70F" w14:textId="4BD8AB9A" w:rsidR="006E09A3" w:rsidRDefault="006E09A3" w:rsidP="007F35DF">
            <w:pPr>
              <w:spacing w:after="0" w:line="259" w:lineRule="auto"/>
              <w:ind w:left="0" w:right="0" w:firstLine="0"/>
              <w:jc w:val="left"/>
              <w:rPr>
                <w:b/>
                <w:sz w:val="20"/>
              </w:rPr>
            </w:pPr>
            <w:r>
              <w:rPr>
                <w:b/>
                <w:sz w:val="20"/>
              </w:rPr>
              <w:t>5.1 Improving Communication with Lender</w:t>
            </w:r>
          </w:p>
        </w:tc>
        <w:tc>
          <w:tcPr>
            <w:tcW w:w="22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D9A56F" w14:textId="77777777" w:rsidR="00040D33" w:rsidRDefault="00040D33" w:rsidP="007F35DF">
            <w:pPr>
              <w:spacing w:after="0" w:line="259" w:lineRule="auto"/>
              <w:ind w:left="0" w:right="0" w:firstLine="0"/>
              <w:jc w:val="left"/>
              <w:rPr>
                <w:sz w:val="20"/>
              </w:rPr>
            </w:pPr>
          </w:p>
          <w:p w14:paraId="588C84A1" w14:textId="17938B97" w:rsidR="006E09A3" w:rsidRDefault="006E09A3" w:rsidP="007F35DF">
            <w:pPr>
              <w:spacing w:after="0" w:line="259" w:lineRule="auto"/>
              <w:ind w:left="0" w:right="0" w:firstLine="0"/>
              <w:jc w:val="left"/>
              <w:rPr>
                <w:sz w:val="20"/>
              </w:rPr>
            </w:pPr>
            <w:r>
              <w:rPr>
                <w:sz w:val="20"/>
              </w:rPr>
              <w:t>Post</w:t>
            </w:r>
            <w:r w:rsidR="00040D33">
              <w:rPr>
                <w:sz w:val="20"/>
              </w:rPr>
              <w:t>-</w:t>
            </w:r>
            <w:r>
              <w:rPr>
                <w:sz w:val="20"/>
              </w:rPr>
              <w:t>Valuation Queries</w:t>
            </w:r>
          </w:p>
        </w:tc>
        <w:tc>
          <w:tcPr>
            <w:tcW w:w="4905" w:type="dxa"/>
            <w:tcBorders>
              <w:top w:val="single" w:sz="4" w:space="0" w:color="000000"/>
              <w:left w:val="single" w:sz="4" w:space="0" w:color="000000"/>
              <w:bottom w:val="single" w:sz="4" w:space="0" w:color="000000"/>
              <w:right w:val="single" w:sz="4" w:space="0" w:color="000000"/>
            </w:tcBorders>
          </w:tcPr>
          <w:p w14:paraId="1A6DE81F" w14:textId="77777777" w:rsidR="00942826" w:rsidRDefault="00942826" w:rsidP="007F35DF">
            <w:pPr>
              <w:spacing w:after="0" w:line="259" w:lineRule="auto"/>
              <w:ind w:left="4" w:right="0" w:firstLine="0"/>
              <w:jc w:val="left"/>
              <w:rPr>
                <w:sz w:val="20"/>
              </w:rPr>
            </w:pPr>
          </w:p>
          <w:p w14:paraId="21C8E796" w14:textId="77C34D00" w:rsidR="006E09A3" w:rsidRDefault="006E09A3" w:rsidP="007F35DF">
            <w:pPr>
              <w:spacing w:after="0" w:line="259" w:lineRule="auto"/>
              <w:ind w:left="4" w:right="0" w:firstLine="0"/>
              <w:jc w:val="left"/>
              <w:rPr>
                <w:sz w:val="20"/>
              </w:rPr>
            </w:pPr>
            <w:r>
              <w:rPr>
                <w:sz w:val="20"/>
              </w:rPr>
              <w:t>Check the relevant section of the Lender’s Handbook prior to referring the issue to the lender.</w:t>
            </w:r>
          </w:p>
          <w:p w14:paraId="336929D4" w14:textId="77777777" w:rsidR="006E09A3" w:rsidRDefault="006E09A3" w:rsidP="007F35DF">
            <w:pPr>
              <w:spacing w:after="0" w:line="259" w:lineRule="auto"/>
              <w:ind w:left="4" w:right="0" w:firstLine="0"/>
              <w:jc w:val="left"/>
              <w:rPr>
                <w:sz w:val="20"/>
              </w:rPr>
            </w:pPr>
          </w:p>
          <w:p w14:paraId="647676AA" w14:textId="192EB547" w:rsidR="006E09A3" w:rsidRDefault="006E09A3" w:rsidP="007F35DF">
            <w:pPr>
              <w:spacing w:after="0" w:line="259" w:lineRule="auto"/>
              <w:ind w:left="4" w:right="0" w:firstLine="0"/>
              <w:jc w:val="left"/>
              <w:rPr>
                <w:sz w:val="20"/>
              </w:rPr>
            </w:pPr>
            <w:r>
              <w:rPr>
                <w:sz w:val="20"/>
              </w:rPr>
              <w:t>Where possible utilise the CA standard referral form to ensure all information is laid out efficiently and to provide advice to the lender.</w:t>
            </w:r>
            <w:r w:rsidR="002F5494">
              <w:rPr>
                <w:rStyle w:val="FootnoteReference"/>
                <w:sz w:val="20"/>
              </w:rPr>
              <w:footnoteReference w:id="42"/>
            </w:r>
          </w:p>
          <w:p w14:paraId="2FB350FE" w14:textId="77777777" w:rsidR="006E09A3" w:rsidRDefault="006E09A3" w:rsidP="007F35DF">
            <w:pPr>
              <w:spacing w:after="0" w:line="259" w:lineRule="auto"/>
              <w:ind w:left="4" w:right="0" w:firstLine="0"/>
              <w:jc w:val="left"/>
              <w:rPr>
                <w:sz w:val="20"/>
              </w:rPr>
            </w:pPr>
          </w:p>
          <w:p w14:paraId="02412B81" w14:textId="2FED2E3A" w:rsidR="007F35DF" w:rsidRDefault="006E09A3" w:rsidP="00942826">
            <w:pPr>
              <w:ind w:left="0" w:firstLine="0"/>
              <w:jc w:val="left"/>
              <w:rPr>
                <w:sz w:val="20"/>
              </w:rPr>
            </w:pPr>
            <w:r>
              <w:rPr>
                <w:sz w:val="20"/>
              </w:rPr>
              <w:t>Where the guidance in the Lender’s Handbook is ambiguous, highlight this to the lender in your query so they can review and improve their wording.</w:t>
            </w:r>
          </w:p>
          <w:p w14:paraId="108AC332" w14:textId="608DAA56" w:rsidR="00942826" w:rsidRPr="007F35DF" w:rsidRDefault="00942826" w:rsidP="00122A9E">
            <w:pPr>
              <w:ind w:left="0" w:firstLine="0"/>
              <w:rPr>
                <w:sz w:val="20"/>
              </w:rPr>
            </w:pPr>
          </w:p>
        </w:tc>
      </w:tr>
      <w:tr w:rsidR="007F35DF" w14:paraId="69180339" w14:textId="77777777" w:rsidTr="009726F8">
        <w:trPr>
          <w:trHeight w:val="3118"/>
        </w:trPr>
        <w:tc>
          <w:tcPr>
            <w:tcW w:w="3355" w:type="dxa"/>
            <w:tcBorders>
              <w:top w:val="single" w:sz="4" w:space="0" w:color="000000"/>
              <w:left w:val="single" w:sz="4" w:space="0" w:color="000000"/>
              <w:bottom w:val="single" w:sz="4" w:space="0" w:color="000000"/>
              <w:right w:val="single" w:sz="4" w:space="0" w:color="000000"/>
            </w:tcBorders>
            <w:shd w:val="clear" w:color="auto" w:fill="EAD5EF"/>
          </w:tcPr>
          <w:p w14:paraId="404A580E" w14:textId="77777777" w:rsidR="00040D33" w:rsidRDefault="00040D33" w:rsidP="007F35DF">
            <w:pPr>
              <w:spacing w:after="0" w:line="259" w:lineRule="auto"/>
              <w:ind w:left="0" w:right="0" w:firstLine="0"/>
              <w:jc w:val="left"/>
              <w:rPr>
                <w:b/>
                <w:sz w:val="20"/>
              </w:rPr>
            </w:pPr>
          </w:p>
          <w:p w14:paraId="5B74DB37" w14:textId="4D3D35EB" w:rsidR="006E09A3" w:rsidRDefault="006E09A3" w:rsidP="007F35DF">
            <w:pPr>
              <w:spacing w:after="0" w:line="259" w:lineRule="auto"/>
              <w:ind w:left="0" w:right="0" w:firstLine="0"/>
              <w:jc w:val="left"/>
              <w:rPr>
                <w:b/>
                <w:sz w:val="20"/>
              </w:rPr>
            </w:pPr>
            <w:r>
              <w:rPr>
                <w:b/>
                <w:sz w:val="20"/>
              </w:rPr>
              <w:t>5.1 Improving Communication with Lender</w:t>
            </w:r>
          </w:p>
        </w:tc>
        <w:tc>
          <w:tcPr>
            <w:tcW w:w="22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9F3ABF" w14:textId="77777777" w:rsidR="00040D33" w:rsidRDefault="00040D33" w:rsidP="007F35DF">
            <w:pPr>
              <w:spacing w:after="0" w:line="259" w:lineRule="auto"/>
              <w:ind w:left="0" w:right="0" w:firstLine="0"/>
              <w:jc w:val="left"/>
              <w:rPr>
                <w:sz w:val="20"/>
              </w:rPr>
            </w:pPr>
          </w:p>
          <w:p w14:paraId="2D0ABD73" w14:textId="7F20E933" w:rsidR="006E09A3" w:rsidRDefault="006E09A3" w:rsidP="007F35DF">
            <w:pPr>
              <w:spacing w:after="0" w:line="259" w:lineRule="auto"/>
              <w:ind w:left="0" w:right="0" w:firstLine="0"/>
              <w:jc w:val="left"/>
              <w:rPr>
                <w:sz w:val="20"/>
              </w:rPr>
            </w:pPr>
            <w:r>
              <w:rPr>
                <w:sz w:val="20"/>
              </w:rPr>
              <w:t>Certificate of Title</w:t>
            </w:r>
          </w:p>
        </w:tc>
        <w:tc>
          <w:tcPr>
            <w:tcW w:w="4905" w:type="dxa"/>
            <w:tcBorders>
              <w:top w:val="single" w:sz="4" w:space="0" w:color="000000"/>
              <w:left w:val="single" w:sz="4" w:space="0" w:color="000000"/>
              <w:bottom w:val="single" w:sz="4" w:space="0" w:color="000000"/>
              <w:right w:val="single" w:sz="4" w:space="0" w:color="000000"/>
            </w:tcBorders>
          </w:tcPr>
          <w:p w14:paraId="306C3650" w14:textId="77777777" w:rsidR="00942826" w:rsidRDefault="00942826" w:rsidP="007F35DF">
            <w:pPr>
              <w:spacing w:after="0" w:line="259" w:lineRule="auto"/>
              <w:ind w:left="4" w:right="0" w:firstLine="0"/>
              <w:jc w:val="left"/>
              <w:rPr>
                <w:sz w:val="20"/>
              </w:rPr>
            </w:pPr>
          </w:p>
          <w:p w14:paraId="1012B0E8" w14:textId="2BF004E8" w:rsidR="006E09A3" w:rsidRDefault="006E09A3" w:rsidP="007F35DF">
            <w:pPr>
              <w:spacing w:after="0" w:line="259" w:lineRule="auto"/>
              <w:ind w:left="4" w:right="0" w:firstLine="0"/>
              <w:jc w:val="left"/>
              <w:rPr>
                <w:sz w:val="20"/>
              </w:rPr>
            </w:pPr>
            <w:r>
              <w:rPr>
                <w:sz w:val="20"/>
              </w:rPr>
              <w:t>Provide your contact details on the Certificate of Title so that where their processes allow, the lender can acknowledge safe receipt and confirm monies are set up for completion.</w:t>
            </w:r>
          </w:p>
          <w:p w14:paraId="38197CBD" w14:textId="77777777" w:rsidR="006E09A3" w:rsidRDefault="006E09A3" w:rsidP="007F35DF">
            <w:pPr>
              <w:spacing w:after="0" w:line="259" w:lineRule="auto"/>
              <w:ind w:left="4" w:right="0" w:firstLine="0"/>
              <w:jc w:val="left"/>
              <w:rPr>
                <w:sz w:val="20"/>
              </w:rPr>
            </w:pPr>
          </w:p>
          <w:p w14:paraId="44D32AF0" w14:textId="00EF0155" w:rsidR="006E09A3" w:rsidRDefault="006E09A3" w:rsidP="007F35DF">
            <w:pPr>
              <w:spacing w:after="0" w:line="259" w:lineRule="auto"/>
              <w:ind w:left="4" w:right="0" w:firstLine="0"/>
              <w:jc w:val="left"/>
              <w:rPr>
                <w:sz w:val="20"/>
              </w:rPr>
            </w:pPr>
            <w:r>
              <w:rPr>
                <w:sz w:val="20"/>
              </w:rPr>
              <w:t xml:space="preserve">Do not send covering letters with your Certificate of Title as these are scanned and dealt with separately by some lenders </w:t>
            </w:r>
            <w:r w:rsidR="002F5494">
              <w:rPr>
                <w:sz w:val="20"/>
              </w:rPr>
              <w:t xml:space="preserve">and </w:t>
            </w:r>
            <w:r>
              <w:rPr>
                <w:sz w:val="20"/>
              </w:rPr>
              <w:t xml:space="preserve">can delay </w:t>
            </w:r>
            <w:r w:rsidR="002F5494">
              <w:rPr>
                <w:sz w:val="20"/>
              </w:rPr>
              <w:t>acknowledgement</w:t>
            </w:r>
            <w:r>
              <w:rPr>
                <w:sz w:val="20"/>
              </w:rPr>
              <w:t>.</w:t>
            </w:r>
          </w:p>
          <w:p w14:paraId="74230F94" w14:textId="77777777" w:rsidR="00224376" w:rsidRDefault="00224376" w:rsidP="007F35DF">
            <w:pPr>
              <w:spacing w:after="0" w:line="259" w:lineRule="auto"/>
              <w:ind w:left="4" w:right="0" w:firstLine="0"/>
              <w:jc w:val="left"/>
              <w:rPr>
                <w:sz w:val="20"/>
              </w:rPr>
            </w:pPr>
          </w:p>
          <w:p w14:paraId="16670CC7" w14:textId="77777777" w:rsidR="006E09A3" w:rsidRDefault="00224376" w:rsidP="007F35DF">
            <w:pPr>
              <w:spacing w:after="0" w:line="259" w:lineRule="auto"/>
              <w:ind w:left="4" w:right="0" w:firstLine="0"/>
              <w:jc w:val="left"/>
              <w:rPr>
                <w:sz w:val="20"/>
              </w:rPr>
            </w:pPr>
            <w:r>
              <w:rPr>
                <w:sz w:val="20"/>
              </w:rPr>
              <w:t>Do not send the hard copy of a faxed Certificate of Title for the same reason</w:t>
            </w:r>
            <w:r w:rsidR="00F01962">
              <w:rPr>
                <w:sz w:val="20"/>
              </w:rPr>
              <w:t xml:space="preserve"> unless it is required by the lender</w:t>
            </w:r>
            <w:r>
              <w:rPr>
                <w:sz w:val="20"/>
              </w:rPr>
              <w:t>.</w:t>
            </w:r>
          </w:p>
          <w:p w14:paraId="6CC8A969" w14:textId="17E9DF68" w:rsidR="009726F8" w:rsidRDefault="009726F8" w:rsidP="007F35DF">
            <w:pPr>
              <w:spacing w:after="0" w:line="259" w:lineRule="auto"/>
              <w:ind w:left="4" w:right="0" w:firstLine="0"/>
              <w:jc w:val="left"/>
              <w:rPr>
                <w:sz w:val="20"/>
              </w:rPr>
            </w:pPr>
          </w:p>
        </w:tc>
      </w:tr>
    </w:tbl>
    <w:p w14:paraId="00DBE479" w14:textId="77777777" w:rsidR="008734D1" w:rsidRDefault="008734D1">
      <w:r>
        <w:br w:type="page"/>
      </w:r>
    </w:p>
    <w:tbl>
      <w:tblPr>
        <w:tblStyle w:val="TableGrid"/>
        <w:tblpPr w:leftFromText="180" w:rightFromText="180" w:vertAnchor="text" w:tblpX="-122" w:tblpY="1"/>
        <w:tblOverlap w:val="never"/>
        <w:tblW w:w="10475" w:type="dxa"/>
        <w:tblInd w:w="0" w:type="dxa"/>
        <w:tblLayout w:type="fixed"/>
        <w:tblCellMar>
          <w:top w:w="7" w:type="dxa"/>
          <w:left w:w="107" w:type="dxa"/>
          <w:right w:w="54" w:type="dxa"/>
        </w:tblCellMar>
        <w:tblLook w:val="04A0" w:firstRow="1" w:lastRow="0" w:firstColumn="1" w:lastColumn="0" w:noHBand="0" w:noVBand="1"/>
      </w:tblPr>
      <w:tblGrid>
        <w:gridCol w:w="3355"/>
        <w:gridCol w:w="2215"/>
        <w:gridCol w:w="4905"/>
      </w:tblGrid>
      <w:tr w:rsidR="007F35DF" w14:paraId="6CCC7539" w14:textId="77777777" w:rsidTr="008734D1">
        <w:trPr>
          <w:trHeight w:val="735"/>
        </w:trPr>
        <w:tc>
          <w:tcPr>
            <w:tcW w:w="3355" w:type="dxa"/>
            <w:tcBorders>
              <w:top w:val="single" w:sz="4" w:space="0" w:color="000000"/>
              <w:left w:val="single" w:sz="4" w:space="0" w:color="000000"/>
              <w:bottom w:val="single" w:sz="4" w:space="0" w:color="000000"/>
              <w:right w:val="single" w:sz="4" w:space="0" w:color="000000"/>
            </w:tcBorders>
            <w:shd w:val="clear" w:color="auto" w:fill="EAD5EF"/>
          </w:tcPr>
          <w:p w14:paraId="76594B8D" w14:textId="768C5669" w:rsidR="00BD38FB" w:rsidRDefault="00BD38FB" w:rsidP="007F35DF">
            <w:pPr>
              <w:spacing w:after="0" w:line="259" w:lineRule="auto"/>
              <w:ind w:left="0" w:right="0" w:firstLine="0"/>
              <w:jc w:val="left"/>
              <w:rPr>
                <w:b/>
                <w:sz w:val="20"/>
              </w:rPr>
            </w:pPr>
          </w:p>
          <w:p w14:paraId="59409911" w14:textId="1FBED0B4" w:rsidR="004C35F9" w:rsidRPr="004C35F9" w:rsidRDefault="004C35F9" w:rsidP="007F35DF">
            <w:pPr>
              <w:spacing w:after="0" w:line="259" w:lineRule="auto"/>
              <w:ind w:left="0" w:right="0" w:firstLine="0"/>
              <w:jc w:val="left"/>
              <w:rPr>
                <w:b/>
                <w:sz w:val="20"/>
              </w:rPr>
            </w:pPr>
            <w:r w:rsidRPr="005826CC">
              <w:rPr>
                <w:b/>
                <w:sz w:val="20"/>
              </w:rPr>
              <w:t>6.</w:t>
            </w:r>
            <w:r>
              <w:rPr>
                <w:b/>
                <w:sz w:val="20"/>
              </w:rPr>
              <w:t>1</w:t>
            </w:r>
            <w:r w:rsidRPr="005826CC">
              <w:rPr>
                <w:b/>
                <w:sz w:val="20"/>
              </w:rPr>
              <w:t xml:space="preserve"> Leasehold</w:t>
            </w:r>
            <w:r w:rsidR="00480C54">
              <w:rPr>
                <w:b/>
                <w:sz w:val="20"/>
              </w:rPr>
              <w:t xml:space="preserve"> </w:t>
            </w:r>
          </w:p>
        </w:tc>
        <w:tc>
          <w:tcPr>
            <w:tcW w:w="22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604FE6" w14:textId="77777777" w:rsidR="00BD38FB" w:rsidRDefault="00BD38FB" w:rsidP="007F35DF">
            <w:pPr>
              <w:spacing w:after="0" w:line="259" w:lineRule="auto"/>
              <w:ind w:left="0" w:right="0" w:firstLine="0"/>
              <w:jc w:val="left"/>
              <w:rPr>
                <w:sz w:val="20"/>
              </w:rPr>
            </w:pPr>
          </w:p>
          <w:p w14:paraId="1E3D0894" w14:textId="5AB448F9" w:rsidR="004C35F9" w:rsidRDefault="004C35F9" w:rsidP="007F35DF">
            <w:pPr>
              <w:spacing w:after="0" w:line="259" w:lineRule="auto"/>
              <w:ind w:left="0" w:right="0" w:firstLine="0"/>
              <w:jc w:val="left"/>
              <w:rPr>
                <w:sz w:val="20"/>
              </w:rPr>
            </w:pPr>
            <w:r>
              <w:rPr>
                <w:sz w:val="20"/>
              </w:rPr>
              <w:t>Applications for Information or Consent</w:t>
            </w:r>
          </w:p>
        </w:tc>
        <w:tc>
          <w:tcPr>
            <w:tcW w:w="4905" w:type="dxa"/>
            <w:tcBorders>
              <w:top w:val="single" w:sz="4" w:space="0" w:color="000000"/>
              <w:left w:val="single" w:sz="4" w:space="0" w:color="000000"/>
              <w:bottom w:val="single" w:sz="4" w:space="0" w:color="000000"/>
              <w:right w:val="single" w:sz="4" w:space="0" w:color="000000"/>
            </w:tcBorders>
          </w:tcPr>
          <w:p w14:paraId="711E0A0B" w14:textId="77777777" w:rsidR="00BD38FB" w:rsidRDefault="00BD38FB" w:rsidP="007F35DF">
            <w:pPr>
              <w:spacing w:after="0" w:line="259" w:lineRule="auto"/>
              <w:ind w:left="4" w:right="0" w:firstLine="0"/>
              <w:jc w:val="left"/>
              <w:rPr>
                <w:sz w:val="20"/>
              </w:rPr>
            </w:pPr>
          </w:p>
          <w:p w14:paraId="79CF219A" w14:textId="76E6036B" w:rsidR="004C35F9" w:rsidRDefault="004C35F9" w:rsidP="007F35DF">
            <w:pPr>
              <w:spacing w:after="0" w:line="259" w:lineRule="auto"/>
              <w:ind w:left="4" w:right="0" w:firstLine="0"/>
              <w:jc w:val="left"/>
              <w:rPr>
                <w:sz w:val="20"/>
              </w:rPr>
            </w:pPr>
            <w:r>
              <w:rPr>
                <w:sz w:val="20"/>
              </w:rPr>
              <w:t>Highlight to Lease Administrators the need for reasonable administration charges.</w:t>
            </w:r>
            <w:r>
              <w:rPr>
                <w:rStyle w:val="FootnoteReference"/>
                <w:sz w:val="20"/>
              </w:rPr>
              <w:footnoteReference w:id="43"/>
            </w:r>
          </w:p>
          <w:p w14:paraId="1A48FEB8" w14:textId="77777777" w:rsidR="0095708D" w:rsidRDefault="0095708D" w:rsidP="007F35DF">
            <w:pPr>
              <w:spacing w:after="0" w:line="259" w:lineRule="auto"/>
              <w:ind w:left="4" w:right="0" w:firstLine="0"/>
              <w:jc w:val="left"/>
              <w:rPr>
                <w:sz w:val="20"/>
              </w:rPr>
            </w:pPr>
          </w:p>
          <w:p w14:paraId="53FFE89B" w14:textId="77777777" w:rsidR="0095708D" w:rsidRDefault="0095708D" w:rsidP="007F35DF">
            <w:pPr>
              <w:spacing w:after="0" w:line="259" w:lineRule="auto"/>
              <w:ind w:left="4" w:right="0" w:firstLine="0"/>
              <w:jc w:val="left"/>
              <w:rPr>
                <w:sz w:val="20"/>
              </w:rPr>
            </w:pPr>
            <w:r>
              <w:rPr>
                <w:sz w:val="20"/>
              </w:rPr>
              <w:t>An unreasonable fee for the provision of a consent where consent cannot be unreasonably withheld means the leaseholder can proceed without the consent.</w:t>
            </w:r>
            <w:r>
              <w:rPr>
                <w:rStyle w:val="FootnoteReference"/>
                <w:sz w:val="20"/>
              </w:rPr>
              <w:footnoteReference w:id="44"/>
            </w:r>
          </w:p>
          <w:p w14:paraId="267EE2B8" w14:textId="15184F5A" w:rsidR="008734D1" w:rsidRDefault="008734D1" w:rsidP="007F35DF">
            <w:pPr>
              <w:spacing w:after="0" w:line="259" w:lineRule="auto"/>
              <w:ind w:left="4" w:right="0" w:firstLine="0"/>
              <w:jc w:val="left"/>
              <w:rPr>
                <w:sz w:val="20"/>
              </w:rPr>
            </w:pPr>
          </w:p>
        </w:tc>
      </w:tr>
      <w:tr w:rsidR="007F35DF" w14:paraId="191363F0" w14:textId="77777777" w:rsidTr="008734D1">
        <w:trPr>
          <w:trHeight w:val="2173"/>
        </w:trPr>
        <w:tc>
          <w:tcPr>
            <w:tcW w:w="3355" w:type="dxa"/>
            <w:tcBorders>
              <w:top w:val="single" w:sz="4" w:space="0" w:color="000000"/>
              <w:left w:val="single" w:sz="4" w:space="0" w:color="000000"/>
              <w:bottom w:val="single" w:sz="4" w:space="0" w:color="000000"/>
              <w:right w:val="single" w:sz="4" w:space="0" w:color="000000"/>
            </w:tcBorders>
            <w:shd w:val="clear" w:color="auto" w:fill="EAD5EF"/>
          </w:tcPr>
          <w:p w14:paraId="716CD0A9" w14:textId="77777777" w:rsidR="00040D33" w:rsidRDefault="00040D33" w:rsidP="007F35DF">
            <w:pPr>
              <w:spacing w:after="0" w:line="259" w:lineRule="auto"/>
              <w:ind w:left="0" w:right="0" w:firstLine="0"/>
              <w:jc w:val="left"/>
              <w:rPr>
                <w:b/>
                <w:sz w:val="20"/>
              </w:rPr>
            </w:pPr>
          </w:p>
          <w:p w14:paraId="05CABB24" w14:textId="171DE87D" w:rsidR="00D904EA" w:rsidRPr="004C35F9" w:rsidRDefault="00D904EA" w:rsidP="007F35DF">
            <w:pPr>
              <w:spacing w:after="0" w:line="259" w:lineRule="auto"/>
              <w:ind w:left="0" w:right="0" w:firstLine="0"/>
              <w:jc w:val="left"/>
              <w:rPr>
                <w:b/>
                <w:sz w:val="20"/>
              </w:rPr>
            </w:pPr>
            <w:r>
              <w:rPr>
                <w:b/>
                <w:sz w:val="20"/>
              </w:rPr>
              <w:t>6.2 Leasehold</w:t>
            </w:r>
          </w:p>
        </w:tc>
        <w:tc>
          <w:tcPr>
            <w:tcW w:w="22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7C06E3" w14:textId="77777777" w:rsidR="00BD38FB" w:rsidRDefault="00BD38FB" w:rsidP="007F35DF">
            <w:pPr>
              <w:spacing w:after="0" w:line="259" w:lineRule="auto"/>
              <w:ind w:left="0" w:right="0" w:firstLine="0"/>
              <w:jc w:val="left"/>
              <w:rPr>
                <w:sz w:val="20"/>
              </w:rPr>
            </w:pPr>
          </w:p>
          <w:p w14:paraId="4D7A163D" w14:textId="287430AC" w:rsidR="00D904EA" w:rsidRDefault="00D904EA" w:rsidP="007F35DF">
            <w:pPr>
              <w:spacing w:after="0" w:line="259" w:lineRule="auto"/>
              <w:ind w:left="0" w:right="0" w:firstLine="0"/>
              <w:jc w:val="left"/>
              <w:rPr>
                <w:sz w:val="20"/>
              </w:rPr>
            </w:pPr>
            <w:r>
              <w:rPr>
                <w:sz w:val="20"/>
              </w:rPr>
              <w:t>Deed of Covenant</w:t>
            </w:r>
          </w:p>
        </w:tc>
        <w:tc>
          <w:tcPr>
            <w:tcW w:w="4905" w:type="dxa"/>
            <w:tcBorders>
              <w:top w:val="single" w:sz="4" w:space="0" w:color="000000"/>
              <w:left w:val="single" w:sz="4" w:space="0" w:color="000000"/>
              <w:bottom w:val="single" w:sz="4" w:space="0" w:color="000000"/>
              <w:right w:val="single" w:sz="4" w:space="0" w:color="000000"/>
            </w:tcBorders>
          </w:tcPr>
          <w:p w14:paraId="3C1C7CE4" w14:textId="77777777" w:rsidR="00BD38FB" w:rsidRDefault="00BD38FB" w:rsidP="007F35DF">
            <w:pPr>
              <w:spacing w:after="0" w:line="259" w:lineRule="auto"/>
              <w:ind w:left="4" w:right="0" w:firstLine="0"/>
              <w:jc w:val="left"/>
              <w:rPr>
                <w:b/>
                <w:sz w:val="20"/>
              </w:rPr>
            </w:pPr>
          </w:p>
          <w:p w14:paraId="684BA3B4" w14:textId="114917A3" w:rsidR="003D4FE4" w:rsidRPr="00865CFE" w:rsidRDefault="003D4FE4" w:rsidP="007F35DF">
            <w:pPr>
              <w:spacing w:after="0" w:line="259" w:lineRule="auto"/>
              <w:ind w:left="4" w:right="0" w:firstLine="0"/>
              <w:jc w:val="left"/>
              <w:rPr>
                <w:b/>
                <w:sz w:val="20"/>
              </w:rPr>
            </w:pPr>
            <w:r w:rsidRPr="00865CFE">
              <w:rPr>
                <w:b/>
                <w:sz w:val="20"/>
              </w:rPr>
              <w:t>Leases Dated Prior to 1996</w:t>
            </w:r>
          </w:p>
          <w:p w14:paraId="26BB4A83" w14:textId="781356AC" w:rsidR="003D4FE4" w:rsidRDefault="003D4FE4" w:rsidP="007F35DF">
            <w:pPr>
              <w:spacing w:after="0" w:line="259" w:lineRule="auto"/>
              <w:ind w:left="4" w:right="0" w:firstLine="0"/>
              <w:jc w:val="left"/>
              <w:rPr>
                <w:sz w:val="20"/>
              </w:rPr>
            </w:pPr>
            <w:r>
              <w:rPr>
                <w:sz w:val="20"/>
              </w:rPr>
              <w:t>A fee for a Deed of Covenant should be reasonable.</w:t>
            </w:r>
            <w:r>
              <w:rPr>
                <w:rStyle w:val="FootnoteReference"/>
                <w:sz w:val="20"/>
              </w:rPr>
              <w:footnoteReference w:id="45"/>
            </w:r>
          </w:p>
          <w:p w14:paraId="287FC8D0" w14:textId="77777777" w:rsidR="003D4FE4" w:rsidRDefault="003D4FE4" w:rsidP="007F35DF">
            <w:pPr>
              <w:spacing w:after="0" w:line="259" w:lineRule="auto"/>
              <w:ind w:left="4" w:right="0" w:firstLine="0"/>
              <w:jc w:val="left"/>
              <w:rPr>
                <w:sz w:val="20"/>
              </w:rPr>
            </w:pPr>
          </w:p>
          <w:p w14:paraId="1A255BBE" w14:textId="7A26405A" w:rsidR="003D4FE4" w:rsidRPr="00865CFE" w:rsidRDefault="003D4FE4" w:rsidP="007F35DF">
            <w:pPr>
              <w:spacing w:after="0" w:line="259" w:lineRule="auto"/>
              <w:ind w:left="4" w:right="0" w:firstLine="0"/>
              <w:jc w:val="left"/>
              <w:rPr>
                <w:b/>
                <w:sz w:val="20"/>
              </w:rPr>
            </w:pPr>
            <w:r w:rsidRPr="00865CFE">
              <w:rPr>
                <w:b/>
                <w:sz w:val="20"/>
              </w:rPr>
              <w:t>Leases Dated After 1st January 1996</w:t>
            </w:r>
          </w:p>
          <w:p w14:paraId="1224B635" w14:textId="77777777" w:rsidR="003F3F10" w:rsidRDefault="00F21D63" w:rsidP="007F35DF">
            <w:pPr>
              <w:spacing w:after="0" w:line="259" w:lineRule="auto"/>
              <w:ind w:left="4" w:right="0" w:firstLine="0"/>
              <w:jc w:val="left"/>
              <w:rPr>
                <w:sz w:val="20"/>
              </w:rPr>
            </w:pPr>
            <w:r>
              <w:rPr>
                <w:sz w:val="20"/>
              </w:rPr>
              <w:t>A Deed</w:t>
            </w:r>
            <w:r w:rsidR="00D904EA">
              <w:rPr>
                <w:sz w:val="20"/>
              </w:rPr>
              <w:t xml:space="preserve"> of Covenant is </w:t>
            </w:r>
            <w:r w:rsidR="002F5494">
              <w:rPr>
                <w:sz w:val="20"/>
              </w:rPr>
              <w:t>not required for leasehold properties as covenants are enforceable between the leaseholder and lessor as well as management companies.</w:t>
            </w:r>
            <w:r w:rsidR="002F5494">
              <w:rPr>
                <w:rStyle w:val="FootnoteReference"/>
                <w:sz w:val="20"/>
              </w:rPr>
              <w:footnoteReference w:id="46"/>
            </w:r>
            <w:r w:rsidR="00D904EA">
              <w:rPr>
                <w:sz w:val="20"/>
              </w:rPr>
              <w:t xml:space="preserve"> </w:t>
            </w:r>
          </w:p>
          <w:p w14:paraId="5FB40AE9" w14:textId="25956B9A" w:rsidR="008734D1" w:rsidRDefault="008734D1" w:rsidP="007F35DF">
            <w:pPr>
              <w:spacing w:after="0" w:line="259" w:lineRule="auto"/>
              <w:ind w:left="4" w:right="0" w:firstLine="0"/>
              <w:jc w:val="left"/>
              <w:rPr>
                <w:sz w:val="20"/>
              </w:rPr>
            </w:pPr>
          </w:p>
        </w:tc>
      </w:tr>
      <w:tr w:rsidR="007F35DF" w14:paraId="0713FCA7" w14:textId="77777777" w:rsidTr="008734D1">
        <w:trPr>
          <w:trHeight w:val="735"/>
        </w:trPr>
        <w:tc>
          <w:tcPr>
            <w:tcW w:w="3355" w:type="dxa"/>
            <w:tcBorders>
              <w:top w:val="single" w:sz="4" w:space="0" w:color="000000"/>
              <w:left w:val="single" w:sz="4" w:space="0" w:color="000000"/>
              <w:bottom w:val="single" w:sz="4" w:space="0" w:color="000000"/>
              <w:right w:val="single" w:sz="4" w:space="0" w:color="000000"/>
            </w:tcBorders>
            <w:shd w:val="clear" w:color="auto" w:fill="EAD5EF"/>
          </w:tcPr>
          <w:p w14:paraId="383106A5" w14:textId="77777777" w:rsidR="00040D33" w:rsidRDefault="00040D33" w:rsidP="007F35DF">
            <w:pPr>
              <w:spacing w:after="0" w:line="259" w:lineRule="auto"/>
              <w:ind w:left="0" w:right="0" w:firstLine="0"/>
              <w:jc w:val="left"/>
              <w:rPr>
                <w:b/>
                <w:sz w:val="20"/>
              </w:rPr>
            </w:pPr>
          </w:p>
          <w:p w14:paraId="7AB9F760" w14:textId="768DC7A5" w:rsidR="004C35F9" w:rsidRPr="004C35F9" w:rsidRDefault="00D904EA" w:rsidP="007F35DF">
            <w:pPr>
              <w:spacing w:after="0" w:line="259" w:lineRule="auto"/>
              <w:ind w:left="0" w:right="0" w:firstLine="0"/>
              <w:jc w:val="left"/>
              <w:rPr>
                <w:b/>
                <w:sz w:val="20"/>
              </w:rPr>
            </w:pPr>
            <w:r>
              <w:rPr>
                <w:b/>
                <w:sz w:val="20"/>
              </w:rPr>
              <w:t>6.3</w:t>
            </w:r>
            <w:r w:rsidR="004C35F9">
              <w:rPr>
                <w:b/>
                <w:sz w:val="20"/>
              </w:rPr>
              <w:t xml:space="preserve"> Leasehold</w:t>
            </w:r>
          </w:p>
        </w:tc>
        <w:tc>
          <w:tcPr>
            <w:tcW w:w="22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8F86D2" w14:textId="77777777" w:rsidR="00BD38FB" w:rsidRDefault="00BD38FB" w:rsidP="007F35DF">
            <w:pPr>
              <w:spacing w:after="0" w:line="259" w:lineRule="auto"/>
              <w:ind w:left="0" w:right="0" w:firstLine="0"/>
              <w:jc w:val="left"/>
              <w:rPr>
                <w:sz w:val="20"/>
              </w:rPr>
            </w:pPr>
          </w:p>
          <w:p w14:paraId="4B541ED4" w14:textId="0D20E21F" w:rsidR="004C35F9" w:rsidRDefault="004C35F9" w:rsidP="007F35DF">
            <w:pPr>
              <w:spacing w:after="0" w:line="259" w:lineRule="auto"/>
              <w:ind w:left="0" w:right="0" w:firstLine="0"/>
              <w:jc w:val="left"/>
              <w:rPr>
                <w:sz w:val="20"/>
              </w:rPr>
            </w:pPr>
            <w:r>
              <w:rPr>
                <w:sz w:val="20"/>
              </w:rPr>
              <w:t>Rent Review Clauses</w:t>
            </w:r>
            <w:r w:rsidR="00480C54">
              <w:rPr>
                <w:sz w:val="20"/>
              </w:rPr>
              <w:t xml:space="preserve"> and Onerous Terms</w:t>
            </w:r>
          </w:p>
        </w:tc>
        <w:tc>
          <w:tcPr>
            <w:tcW w:w="4905" w:type="dxa"/>
            <w:tcBorders>
              <w:top w:val="single" w:sz="4" w:space="0" w:color="000000"/>
              <w:left w:val="single" w:sz="4" w:space="0" w:color="000000"/>
              <w:bottom w:val="single" w:sz="4" w:space="0" w:color="000000"/>
              <w:right w:val="single" w:sz="4" w:space="0" w:color="000000"/>
            </w:tcBorders>
          </w:tcPr>
          <w:p w14:paraId="74E506F7" w14:textId="77777777" w:rsidR="00BD38FB" w:rsidRDefault="00BD38FB" w:rsidP="007F35DF">
            <w:pPr>
              <w:spacing w:after="0" w:line="259" w:lineRule="auto"/>
              <w:ind w:left="4" w:right="0" w:firstLine="0"/>
              <w:jc w:val="left"/>
              <w:rPr>
                <w:sz w:val="20"/>
              </w:rPr>
            </w:pPr>
          </w:p>
          <w:p w14:paraId="752F75B7" w14:textId="256EC5A7" w:rsidR="004C35F9" w:rsidRDefault="004C35F9" w:rsidP="007F35DF">
            <w:pPr>
              <w:spacing w:after="0" w:line="259" w:lineRule="auto"/>
              <w:ind w:left="4" w:right="0" w:firstLine="0"/>
              <w:jc w:val="left"/>
              <w:rPr>
                <w:sz w:val="20"/>
              </w:rPr>
            </w:pPr>
            <w:r>
              <w:rPr>
                <w:sz w:val="20"/>
              </w:rPr>
              <w:t>Check any rent review clauses upon receipt of the lease to ensure they are reasonable and acceptable to a mortgage lender during the full term of the mortgage.</w:t>
            </w:r>
          </w:p>
          <w:p w14:paraId="38C3F15B" w14:textId="77777777" w:rsidR="004C35F9" w:rsidRDefault="004C35F9" w:rsidP="007F35DF">
            <w:pPr>
              <w:spacing w:after="0" w:line="259" w:lineRule="auto"/>
              <w:ind w:left="4" w:right="0" w:firstLine="0"/>
              <w:jc w:val="left"/>
              <w:rPr>
                <w:sz w:val="20"/>
              </w:rPr>
            </w:pPr>
          </w:p>
          <w:p w14:paraId="500EFDE9" w14:textId="352DADF6" w:rsidR="004C35F9" w:rsidRDefault="004C35F9" w:rsidP="007F35DF">
            <w:pPr>
              <w:spacing w:after="0" w:line="259" w:lineRule="auto"/>
              <w:ind w:left="4" w:right="0" w:firstLine="0"/>
              <w:jc w:val="left"/>
              <w:rPr>
                <w:sz w:val="20"/>
              </w:rPr>
            </w:pPr>
            <w:r>
              <w:rPr>
                <w:sz w:val="20"/>
              </w:rPr>
              <w:t xml:space="preserve">Where there are complicated </w:t>
            </w:r>
            <w:r w:rsidR="00E16D3A">
              <w:rPr>
                <w:sz w:val="20"/>
              </w:rPr>
              <w:t>calculations,</w:t>
            </w:r>
            <w:r>
              <w:rPr>
                <w:sz w:val="20"/>
              </w:rPr>
              <w:t xml:space="preserve"> you should run the calculation for any rent reviews during the following 50 years and report the likely increases to the client and, if they appear to be outside of the norm, report to the lender.</w:t>
            </w:r>
          </w:p>
          <w:p w14:paraId="504D955F" w14:textId="77777777" w:rsidR="007D06A0" w:rsidRDefault="007D06A0" w:rsidP="007F35DF">
            <w:pPr>
              <w:spacing w:after="0" w:line="259" w:lineRule="auto"/>
              <w:ind w:left="4" w:right="0" w:firstLine="0"/>
              <w:jc w:val="left"/>
              <w:rPr>
                <w:sz w:val="20"/>
              </w:rPr>
            </w:pPr>
          </w:p>
          <w:p w14:paraId="4B6842F7" w14:textId="2B81DD7A" w:rsidR="007D06A0" w:rsidRDefault="007D06A0" w:rsidP="007F35DF">
            <w:pPr>
              <w:spacing w:after="0" w:line="259" w:lineRule="auto"/>
              <w:ind w:left="4" w:right="0" w:firstLine="0"/>
              <w:jc w:val="left"/>
              <w:rPr>
                <w:sz w:val="20"/>
              </w:rPr>
            </w:pPr>
            <w:r>
              <w:rPr>
                <w:sz w:val="20"/>
              </w:rPr>
              <w:t>Any onerous term should be reported to the client and the Lender with an explanation as to what this will mean to them.</w:t>
            </w:r>
            <w:r w:rsidR="008027D5">
              <w:rPr>
                <w:sz w:val="20"/>
              </w:rPr>
              <w:t xml:space="preserve"> Check whether the developer has undertaken to remove onerous clauses.</w:t>
            </w:r>
            <w:r w:rsidR="008027D5">
              <w:rPr>
                <w:rStyle w:val="FootnoteReference"/>
                <w:sz w:val="20"/>
              </w:rPr>
              <w:footnoteReference w:id="47"/>
            </w:r>
          </w:p>
          <w:p w14:paraId="5165A300" w14:textId="77777777" w:rsidR="003D4FE4" w:rsidRDefault="003D4FE4" w:rsidP="007F35DF">
            <w:pPr>
              <w:spacing w:after="0" w:line="259" w:lineRule="auto"/>
              <w:ind w:left="4" w:right="0" w:firstLine="0"/>
              <w:jc w:val="left"/>
              <w:rPr>
                <w:sz w:val="20"/>
              </w:rPr>
            </w:pPr>
          </w:p>
          <w:p w14:paraId="6A2FA2EB" w14:textId="432B1CD4" w:rsidR="004C35F9" w:rsidRPr="00865CFE" w:rsidRDefault="003D4FE4" w:rsidP="007F35DF">
            <w:pPr>
              <w:spacing w:after="0" w:line="259" w:lineRule="auto"/>
              <w:ind w:left="4" w:right="0" w:firstLine="0"/>
              <w:jc w:val="left"/>
              <w:rPr>
                <w:b/>
                <w:sz w:val="20"/>
              </w:rPr>
            </w:pPr>
            <w:r>
              <w:rPr>
                <w:b/>
                <w:sz w:val="20"/>
              </w:rPr>
              <w:t>New Build Leases and Estate Rentcharges</w:t>
            </w:r>
          </w:p>
          <w:p w14:paraId="6AF6FBD0" w14:textId="00384E09" w:rsidR="003D4FE4" w:rsidRDefault="003D4FE4" w:rsidP="007F35DF">
            <w:pPr>
              <w:spacing w:after="0" w:line="259" w:lineRule="auto"/>
              <w:ind w:left="4" w:right="0" w:firstLine="0"/>
              <w:jc w:val="left"/>
              <w:rPr>
                <w:sz w:val="20"/>
              </w:rPr>
            </w:pPr>
            <w:r>
              <w:rPr>
                <w:sz w:val="20"/>
              </w:rPr>
              <w:t>A</w:t>
            </w:r>
            <w:r w:rsidR="004C35F9">
              <w:rPr>
                <w:sz w:val="20"/>
              </w:rPr>
              <w:t>ny escalating ground rents</w:t>
            </w:r>
            <w:r>
              <w:rPr>
                <w:sz w:val="20"/>
              </w:rPr>
              <w:t xml:space="preserve"> or rentcharges</w:t>
            </w:r>
            <w:r w:rsidR="004C35F9">
              <w:rPr>
                <w:sz w:val="20"/>
              </w:rPr>
              <w:t xml:space="preserve"> outside o</w:t>
            </w:r>
            <w:r w:rsidR="003E701C">
              <w:rPr>
                <w:sz w:val="20"/>
              </w:rPr>
              <w:t xml:space="preserve">f the norm should be negotiated with reference to the current lending policy adopted by major lenders such as Nationwide. </w:t>
            </w:r>
            <w:r w:rsidR="00E16D3A">
              <w:rPr>
                <w:sz w:val="20"/>
              </w:rPr>
              <w:t>E.g.</w:t>
            </w:r>
            <w:r w:rsidR="003E701C">
              <w:rPr>
                <w:sz w:val="20"/>
              </w:rPr>
              <w:t xml:space="preserve"> minimum term of 125 years for a flat and 250 for a house, no new</w:t>
            </w:r>
            <w:r w:rsidR="00CE0955">
              <w:rPr>
                <w:sz w:val="20"/>
              </w:rPr>
              <w:t>-</w:t>
            </w:r>
            <w:r w:rsidR="003E701C">
              <w:rPr>
                <w:sz w:val="20"/>
              </w:rPr>
              <w:t xml:space="preserve">build leasehold houses where there are no shared amenities and rent reviews must be reasonable and not cause the rent to be above the Housing Act 1988 level </w:t>
            </w:r>
            <w:r w:rsidR="00E16D3A">
              <w:rPr>
                <w:sz w:val="20"/>
              </w:rPr>
              <w:t>e.g.</w:t>
            </w:r>
            <w:r w:rsidR="003E701C">
              <w:rPr>
                <w:sz w:val="20"/>
              </w:rPr>
              <w:t xml:space="preserve"> £250 for outside London and £1,000 within London, during the </w:t>
            </w:r>
            <w:r w:rsidR="003E701C" w:rsidRPr="007F35DF">
              <w:rPr>
                <w:sz w:val="20"/>
                <w:szCs w:val="20"/>
              </w:rPr>
              <w:t>mortgage term.</w:t>
            </w:r>
            <w:r w:rsidR="007F35DF" w:rsidRPr="007F35DF">
              <w:rPr>
                <w:sz w:val="20"/>
                <w:szCs w:val="20"/>
              </w:rPr>
              <w:t xml:space="preserve"> </w:t>
            </w:r>
            <w:r w:rsidR="007F35DF">
              <w:rPr>
                <w:rFonts w:eastAsiaTheme="minorEastAsia"/>
                <w:sz w:val="20"/>
                <w:szCs w:val="20"/>
              </w:rPr>
              <w:br/>
            </w:r>
          </w:p>
          <w:p w14:paraId="7C3E0739" w14:textId="77777777" w:rsidR="00CE0955" w:rsidRDefault="00CE0955" w:rsidP="007F35DF">
            <w:pPr>
              <w:spacing w:after="0" w:line="259" w:lineRule="auto"/>
              <w:ind w:left="4" w:right="0" w:firstLine="0"/>
              <w:jc w:val="left"/>
              <w:rPr>
                <w:b/>
                <w:sz w:val="20"/>
              </w:rPr>
            </w:pPr>
          </w:p>
          <w:p w14:paraId="36BC0D9D" w14:textId="77777777" w:rsidR="00CE0955" w:rsidRDefault="00CE0955" w:rsidP="007F35DF">
            <w:pPr>
              <w:spacing w:after="0" w:line="259" w:lineRule="auto"/>
              <w:ind w:left="4" w:right="0" w:firstLine="0"/>
              <w:jc w:val="left"/>
              <w:rPr>
                <w:b/>
                <w:sz w:val="20"/>
              </w:rPr>
            </w:pPr>
          </w:p>
          <w:p w14:paraId="604633A6" w14:textId="77777777" w:rsidR="00CE0955" w:rsidRDefault="00CE0955" w:rsidP="007F35DF">
            <w:pPr>
              <w:spacing w:after="0" w:line="259" w:lineRule="auto"/>
              <w:ind w:left="4" w:right="0" w:firstLine="0"/>
              <w:jc w:val="left"/>
              <w:rPr>
                <w:b/>
                <w:sz w:val="20"/>
              </w:rPr>
            </w:pPr>
          </w:p>
          <w:p w14:paraId="7E553934" w14:textId="67631C6B" w:rsidR="003D4FE4" w:rsidRDefault="003D4FE4" w:rsidP="007F35DF">
            <w:pPr>
              <w:spacing w:after="0" w:line="259" w:lineRule="auto"/>
              <w:ind w:left="4" w:right="0" w:firstLine="0"/>
              <w:jc w:val="left"/>
              <w:rPr>
                <w:b/>
                <w:sz w:val="20"/>
              </w:rPr>
            </w:pPr>
            <w:r>
              <w:rPr>
                <w:b/>
                <w:sz w:val="20"/>
              </w:rPr>
              <w:t>Existing Lease Terms</w:t>
            </w:r>
          </w:p>
          <w:p w14:paraId="2DE78290" w14:textId="10C609E5" w:rsidR="003D4FE4" w:rsidRDefault="003D4FE4" w:rsidP="007F35DF">
            <w:pPr>
              <w:spacing w:after="0" w:line="259" w:lineRule="auto"/>
              <w:ind w:left="4" w:right="0" w:firstLine="0"/>
              <w:jc w:val="left"/>
              <w:rPr>
                <w:sz w:val="20"/>
              </w:rPr>
            </w:pPr>
            <w:r>
              <w:rPr>
                <w:sz w:val="20"/>
              </w:rPr>
              <w:t xml:space="preserve">Advise clients on the risk of onerous lease terms and those terms which would not be acceptable to major lenders. </w:t>
            </w:r>
            <w:r w:rsidR="00E16D3A">
              <w:rPr>
                <w:sz w:val="20"/>
              </w:rPr>
              <w:t>E.g.</w:t>
            </w:r>
            <w:r>
              <w:rPr>
                <w:sz w:val="20"/>
              </w:rPr>
              <w:t xml:space="preserve"> Nationwide</w:t>
            </w:r>
            <w:r w:rsidR="00480C54">
              <w:rPr>
                <w:sz w:val="20"/>
              </w:rPr>
              <w:t xml:space="preserve"> will accept, without referral, ground rents less than or equal to 0.1% or with rent review periods no</w:t>
            </w:r>
            <w:r w:rsidR="00AC1D0E">
              <w:rPr>
                <w:sz w:val="20"/>
              </w:rPr>
              <w:t>t</w:t>
            </w:r>
            <w:r w:rsidR="00480C54">
              <w:rPr>
                <w:sz w:val="20"/>
              </w:rPr>
              <w:t xml:space="preserve"> more frequently than 10 years or ground rent escalations less than or equal to RPI.</w:t>
            </w:r>
          </w:p>
          <w:p w14:paraId="4089F1F4" w14:textId="5554B66E" w:rsidR="003D4FE4" w:rsidRPr="00480C54" w:rsidRDefault="003D4FE4" w:rsidP="00CC4301">
            <w:pPr>
              <w:spacing w:after="0" w:line="259" w:lineRule="auto"/>
              <w:ind w:right="0"/>
              <w:jc w:val="left"/>
              <w:rPr>
                <w:sz w:val="20"/>
              </w:rPr>
            </w:pPr>
          </w:p>
        </w:tc>
      </w:tr>
      <w:tr w:rsidR="007F35DF" w14:paraId="3333D41F" w14:textId="77777777" w:rsidTr="008734D1">
        <w:trPr>
          <w:trHeight w:val="296"/>
        </w:trPr>
        <w:tc>
          <w:tcPr>
            <w:tcW w:w="3355" w:type="dxa"/>
            <w:tcBorders>
              <w:top w:val="single" w:sz="4" w:space="0" w:color="000000"/>
              <w:left w:val="single" w:sz="4" w:space="0" w:color="000000"/>
              <w:bottom w:val="single" w:sz="4" w:space="0" w:color="000000"/>
              <w:right w:val="single" w:sz="4" w:space="0" w:color="000000"/>
            </w:tcBorders>
            <w:shd w:val="clear" w:color="auto" w:fill="EAD5EF"/>
          </w:tcPr>
          <w:p w14:paraId="15CF9FAF" w14:textId="77777777" w:rsidR="00CE0955" w:rsidRDefault="00CE0955" w:rsidP="007F35DF">
            <w:pPr>
              <w:spacing w:after="0" w:line="259" w:lineRule="auto"/>
              <w:ind w:left="0" w:right="0" w:firstLine="0"/>
              <w:jc w:val="left"/>
              <w:rPr>
                <w:b/>
                <w:sz w:val="20"/>
              </w:rPr>
            </w:pPr>
          </w:p>
          <w:p w14:paraId="5D6835C8" w14:textId="6EF05A93" w:rsidR="00BE38BF" w:rsidRDefault="00BE38BF" w:rsidP="007F35DF">
            <w:pPr>
              <w:spacing w:after="0" w:line="259" w:lineRule="auto"/>
              <w:ind w:left="0" w:right="0" w:firstLine="0"/>
              <w:jc w:val="left"/>
              <w:rPr>
                <w:b/>
                <w:sz w:val="20"/>
              </w:rPr>
            </w:pPr>
            <w:r>
              <w:rPr>
                <w:b/>
                <w:sz w:val="20"/>
              </w:rPr>
              <w:t>6.4 Leasehold</w:t>
            </w:r>
          </w:p>
        </w:tc>
        <w:tc>
          <w:tcPr>
            <w:tcW w:w="22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C922F1" w14:textId="77777777" w:rsidR="00545D9F" w:rsidRDefault="00545D9F" w:rsidP="00CE0955">
            <w:pPr>
              <w:spacing w:after="0" w:line="259" w:lineRule="auto"/>
              <w:ind w:left="0" w:right="0" w:firstLine="0"/>
              <w:jc w:val="left"/>
              <w:rPr>
                <w:sz w:val="20"/>
              </w:rPr>
            </w:pPr>
          </w:p>
          <w:p w14:paraId="01E41273" w14:textId="56D06BEC" w:rsidR="00BE38BF" w:rsidRDefault="00BE38BF" w:rsidP="00CE0955">
            <w:pPr>
              <w:spacing w:after="0" w:line="259" w:lineRule="auto"/>
              <w:ind w:left="0" w:right="0" w:firstLine="0"/>
              <w:jc w:val="left"/>
              <w:rPr>
                <w:sz w:val="20"/>
              </w:rPr>
            </w:pPr>
            <w:r>
              <w:rPr>
                <w:sz w:val="20"/>
              </w:rPr>
              <w:t>Assisting with leaseholder communications</w:t>
            </w:r>
          </w:p>
        </w:tc>
        <w:tc>
          <w:tcPr>
            <w:tcW w:w="4905" w:type="dxa"/>
            <w:tcBorders>
              <w:top w:val="single" w:sz="4" w:space="0" w:color="000000"/>
              <w:left w:val="single" w:sz="4" w:space="0" w:color="000000"/>
              <w:bottom w:val="single" w:sz="4" w:space="0" w:color="000000"/>
              <w:right w:val="single" w:sz="4" w:space="0" w:color="000000"/>
            </w:tcBorders>
          </w:tcPr>
          <w:p w14:paraId="7502291E" w14:textId="77777777" w:rsidR="00CE0955" w:rsidRDefault="00CE0955" w:rsidP="007F35DF">
            <w:pPr>
              <w:spacing w:after="0" w:line="259" w:lineRule="auto"/>
              <w:ind w:left="4" w:right="0" w:firstLine="0"/>
              <w:jc w:val="left"/>
              <w:rPr>
                <w:sz w:val="20"/>
              </w:rPr>
            </w:pPr>
          </w:p>
          <w:p w14:paraId="49BD073E" w14:textId="67710D40" w:rsidR="00BE38BF" w:rsidRDefault="00BE38BF" w:rsidP="007F35DF">
            <w:pPr>
              <w:spacing w:after="0" w:line="259" w:lineRule="auto"/>
              <w:ind w:left="4" w:right="0" w:firstLine="0"/>
              <w:jc w:val="left"/>
              <w:rPr>
                <w:sz w:val="20"/>
              </w:rPr>
            </w:pPr>
            <w:r>
              <w:rPr>
                <w:sz w:val="20"/>
              </w:rPr>
              <w:t xml:space="preserve">Where more than one administrator is involved in the administration of a lease, as a courtesy, serve notice on all administrators to ensure your client receives the appropriate demands in a timely fashion. Where notice is duplicated </w:t>
            </w:r>
            <w:proofErr w:type="gramStart"/>
            <w:r>
              <w:rPr>
                <w:sz w:val="20"/>
              </w:rPr>
              <w:t>note</w:t>
            </w:r>
            <w:proofErr w:type="gramEnd"/>
            <w:r>
              <w:rPr>
                <w:sz w:val="20"/>
              </w:rPr>
              <w:t xml:space="preserve"> this is by way of courtesy and therefore no further notice fee is being paid.</w:t>
            </w:r>
          </w:p>
          <w:p w14:paraId="25A4829F" w14:textId="0B1663DF" w:rsidR="00CE0955" w:rsidRDefault="00CE0955" w:rsidP="007F35DF">
            <w:pPr>
              <w:spacing w:after="0" w:line="259" w:lineRule="auto"/>
              <w:ind w:left="4" w:right="0" w:firstLine="0"/>
              <w:jc w:val="left"/>
              <w:rPr>
                <w:sz w:val="20"/>
              </w:rPr>
            </w:pPr>
          </w:p>
        </w:tc>
      </w:tr>
      <w:tr w:rsidR="007F35DF" w14:paraId="073E157E" w14:textId="77777777" w:rsidTr="008734D1">
        <w:trPr>
          <w:trHeight w:val="296"/>
        </w:trPr>
        <w:tc>
          <w:tcPr>
            <w:tcW w:w="3355" w:type="dxa"/>
            <w:tcBorders>
              <w:top w:val="single" w:sz="4" w:space="0" w:color="000000"/>
              <w:left w:val="single" w:sz="4" w:space="0" w:color="000000"/>
              <w:bottom w:val="single" w:sz="4" w:space="0" w:color="000000"/>
              <w:right w:val="single" w:sz="4" w:space="0" w:color="000000"/>
            </w:tcBorders>
            <w:shd w:val="clear" w:color="auto" w:fill="EAD5EF"/>
          </w:tcPr>
          <w:p w14:paraId="66A644E1" w14:textId="77777777" w:rsidR="00CE0955" w:rsidRDefault="00CE0955" w:rsidP="007F35DF">
            <w:pPr>
              <w:spacing w:after="0" w:line="259" w:lineRule="auto"/>
              <w:ind w:left="0" w:right="0" w:firstLine="0"/>
              <w:jc w:val="left"/>
              <w:rPr>
                <w:b/>
                <w:sz w:val="20"/>
              </w:rPr>
            </w:pPr>
          </w:p>
          <w:p w14:paraId="2CDE84CB" w14:textId="73CBA5D8" w:rsidR="00480C54" w:rsidRDefault="00480C54" w:rsidP="007F35DF">
            <w:pPr>
              <w:spacing w:after="0" w:line="259" w:lineRule="auto"/>
              <w:ind w:left="0" w:right="0" w:firstLine="0"/>
              <w:jc w:val="left"/>
              <w:rPr>
                <w:b/>
                <w:sz w:val="20"/>
              </w:rPr>
            </w:pPr>
            <w:r>
              <w:rPr>
                <w:b/>
                <w:sz w:val="20"/>
              </w:rPr>
              <w:t>7.</w:t>
            </w:r>
            <w:r w:rsidR="00C3714E">
              <w:rPr>
                <w:b/>
                <w:sz w:val="20"/>
              </w:rPr>
              <w:t>1</w:t>
            </w:r>
            <w:r>
              <w:rPr>
                <w:b/>
                <w:sz w:val="20"/>
              </w:rPr>
              <w:t xml:space="preserve"> Estate Rentcharges</w:t>
            </w:r>
          </w:p>
        </w:tc>
        <w:tc>
          <w:tcPr>
            <w:tcW w:w="22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F66688" w14:textId="77777777" w:rsidR="00CE0955" w:rsidRDefault="00CE0955" w:rsidP="007F35DF">
            <w:pPr>
              <w:spacing w:after="0" w:line="259" w:lineRule="auto"/>
              <w:ind w:left="0" w:right="0" w:firstLine="0"/>
              <w:jc w:val="left"/>
              <w:rPr>
                <w:sz w:val="20"/>
              </w:rPr>
            </w:pPr>
          </w:p>
          <w:p w14:paraId="6F993DDA" w14:textId="13AD5DDB" w:rsidR="00480C54" w:rsidRDefault="00480C54" w:rsidP="007F35DF">
            <w:pPr>
              <w:spacing w:after="0" w:line="259" w:lineRule="auto"/>
              <w:ind w:left="0" w:right="0" w:firstLine="0"/>
              <w:jc w:val="left"/>
              <w:rPr>
                <w:sz w:val="20"/>
              </w:rPr>
            </w:pPr>
            <w:r>
              <w:rPr>
                <w:sz w:val="20"/>
              </w:rPr>
              <w:t>Onerous Terms</w:t>
            </w:r>
          </w:p>
        </w:tc>
        <w:tc>
          <w:tcPr>
            <w:tcW w:w="4905" w:type="dxa"/>
            <w:tcBorders>
              <w:top w:val="single" w:sz="4" w:space="0" w:color="000000"/>
              <w:left w:val="single" w:sz="4" w:space="0" w:color="000000"/>
              <w:bottom w:val="single" w:sz="4" w:space="0" w:color="000000"/>
              <w:right w:val="single" w:sz="4" w:space="0" w:color="000000"/>
            </w:tcBorders>
          </w:tcPr>
          <w:p w14:paraId="0C7CB944" w14:textId="77777777" w:rsidR="00CE0955" w:rsidRDefault="00CE0955" w:rsidP="007F35DF">
            <w:pPr>
              <w:spacing w:after="0" w:line="259" w:lineRule="auto"/>
              <w:ind w:left="4" w:right="0" w:firstLine="0"/>
              <w:jc w:val="left"/>
              <w:rPr>
                <w:sz w:val="20"/>
              </w:rPr>
            </w:pPr>
          </w:p>
          <w:p w14:paraId="239B90E9" w14:textId="13C876A8" w:rsidR="00480C54" w:rsidRDefault="00480C54" w:rsidP="007F35DF">
            <w:pPr>
              <w:spacing w:after="0" w:line="259" w:lineRule="auto"/>
              <w:ind w:left="4" w:right="0" w:firstLine="0"/>
              <w:jc w:val="left"/>
              <w:rPr>
                <w:sz w:val="20"/>
              </w:rPr>
            </w:pPr>
            <w:r>
              <w:rPr>
                <w:sz w:val="20"/>
              </w:rPr>
              <w:t xml:space="preserve">Advise clients of terms which may be considered onerous and would not be accepted by major lenders. </w:t>
            </w:r>
            <w:r w:rsidR="00E16D3A">
              <w:rPr>
                <w:sz w:val="20"/>
              </w:rPr>
              <w:t>E.g.</w:t>
            </w:r>
            <w:r>
              <w:rPr>
                <w:sz w:val="20"/>
              </w:rPr>
              <w:t xml:space="preserve"> Nationwide require estate rentcharges over £500 per annum to be referred for approval.</w:t>
            </w:r>
          </w:p>
          <w:p w14:paraId="4B292E3A" w14:textId="77777777" w:rsidR="00480C54" w:rsidRDefault="00480C54" w:rsidP="007F35DF">
            <w:pPr>
              <w:spacing w:after="0" w:line="259" w:lineRule="auto"/>
              <w:ind w:left="4" w:right="0" w:firstLine="0"/>
              <w:jc w:val="left"/>
              <w:rPr>
                <w:sz w:val="20"/>
              </w:rPr>
            </w:pPr>
          </w:p>
          <w:p w14:paraId="42292699" w14:textId="77777777" w:rsidR="00480C54" w:rsidRDefault="00480C54" w:rsidP="0015339F">
            <w:pPr>
              <w:spacing w:after="0" w:line="259" w:lineRule="auto"/>
              <w:ind w:left="4" w:right="0" w:firstLine="0"/>
              <w:jc w:val="left"/>
              <w:rPr>
                <w:sz w:val="20"/>
              </w:rPr>
            </w:pPr>
            <w:r>
              <w:rPr>
                <w:sz w:val="20"/>
              </w:rPr>
              <w:t xml:space="preserve">Check the financial impact of </w:t>
            </w:r>
            <w:r w:rsidR="0065688B">
              <w:rPr>
                <w:sz w:val="20"/>
              </w:rPr>
              <w:t>E</w:t>
            </w:r>
            <w:r>
              <w:rPr>
                <w:sz w:val="20"/>
              </w:rPr>
              <w:t>state Rentcharge review clauses and where there are complicated calculations you should run the calculation for any rentcharge reviews during the following 50 years and report the likely increases to the client and, if they appear to be outside of the norm, report to the lender.</w:t>
            </w:r>
          </w:p>
          <w:p w14:paraId="64E6D9CA" w14:textId="14CC7C8B" w:rsidR="00CE0955" w:rsidRDefault="00CE0955" w:rsidP="0015339F">
            <w:pPr>
              <w:spacing w:after="0" w:line="259" w:lineRule="auto"/>
              <w:ind w:left="4" w:right="0" w:firstLine="0"/>
              <w:jc w:val="left"/>
              <w:rPr>
                <w:sz w:val="20"/>
              </w:rPr>
            </w:pPr>
          </w:p>
        </w:tc>
      </w:tr>
      <w:tr w:rsidR="007F35DF" w14:paraId="54F1DE05" w14:textId="77777777" w:rsidTr="008734D1">
        <w:trPr>
          <w:trHeight w:val="296"/>
        </w:trPr>
        <w:tc>
          <w:tcPr>
            <w:tcW w:w="3355" w:type="dxa"/>
            <w:tcBorders>
              <w:top w:val="single" w:sz="4" w:space="0" w:color="000000"/>
              <w:left w:val="single" w:sz="4" w:space="0" w:color="000000"/>
              <w:bottom w:val="single" w:sz="4" w:space="0" w:color="000000"/>
              <w:right w:val="single" w:sz="4" w:space="0" w:color="000000"/>
            </w:tcBorders>
            <w:shd w:val="clear" w:color="auto" w:fill="EAD5EF"/>
          </w:tcPr>
          <w:p w14:paraId="74174100" w14:textId="77777777" w:rsidR="00CE0955" w:rsidRDefault="00CE0955" w:rsidP="007F35DF">
            <w:pPr>
              <w:spacing w:after="0" w:line="259" w:lineRule="auto"/>
              <w:ind w:left="0" w:right="0" w:firstLine="0"/>
              <w:jc w:val="left"/>
              <w:rPr>
                <w:b/>
                <w:sz w:val="20"/>
              </w:rPr>
            </w:pPr>
          </w:p>
          <w:p w14:paraId="7A12CF8C" w14:textId="3FBA95F2" w:rsidR="00C3714E" w:rsidRDefault="00C3714E" w:rsidP="007F35DF">
            <w:pPr>
              <w:spacing w:after="0" w:line="259" w:lineRule="auto"/>
              <w:ind w:left="0" w:right="0" w:firstLine="0"/>
              <w:jc w:val="left"/>
              <w:rPr>
                <w:b/>
                <w:sz w:val="20"/>
              </w:rPr>
            </w:pPr>
            <w:r>
              <w:rPr>
                <w:b/>
                <w:sz w:val="20"/>
              </w:rPr>
              <w:t>7.2 Estate Rentcharges</w:t>
            </w:r>
          </w:p>
        </w:tc>
        <w:tc>
          <w:tcPr>
            <w:tcW w:w="22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A8B821" w14:textId="77777777" w:rsidR="00CE0955" w:rsidRDefault="00CE0955" w:rsidP="007F35DF">
            <w:pPr>
              <w:spacing w:after="0" w:line="259" w:lineRule="auto"/>
              <w:ind w:left="0" w:right="0" w:firstLine="0"/>
              <w:jc w:val="left"/>
              <w:rPr>
                <w:sz w:val="20"/>
              </w:rPr>
            </w:pPr>
          </w:p>
          <w:p w14:paraId="3EB126B8" w14:textId="3B257FE8" w:rsidR="00C3714E" w:rsidRDefault="00C3714E" w:rsidP="007F35DF">
            <w:pPr>
              <w:spacing w:after="0" w:line="259" w:lineRule="auto"/>
              <w:ind w:left="0" w:right="0" w:firstLine="0"/>
              <w:jc w:val="left"/>
              <w:rPr>
                <w:sz w:val="20"/>
              </w:rPr>
            </w:pPr>
            <w:r>
              <w:rPr>
                <w:sz w:val="20"/>
              </w:rPr>
              <w:t>Exclusion of remedies</w:t>
            </w:r>
          </w:p>
        </w:tc>
        <w:tc>
          <w:tcPr>
            <w:tcW w:w="4905" w:type="dxa"/>
            <w:tcBorders>
              <w:top w:val="single" w:sz="4" w:space="0" w:color="000000"/>
              <w:left w:val="single" w:sz="4" w:space="0" w:color="000000"/>
              <w:bottom w:val="single" w:sz="4" w:space="0" w:color="000000"/>
              <w:right w:val="single" w:sz="4" w:space="0" w:color="000000"/>
            </w:tcBorders>
          </w:tcPr>
          <w:p w14:paraId="59076E55" w14:textId="77777777" w:rsidR="00CE0955" w:rsidRDefault="00CE0955" w:rsidP="007F35DF">
            <w:pPr>
              <w:spacing w:after="0" w:line="259" w:lineRule="auto"/>
              <w:ind w:left="0" w:right="0" w:firstLine="0"/>
              <w:jc w:val="left"/>
              <w:rPr>
                <w:sz w:val="20"/>
              </w:rPr>
            </w:pPr>
          </w:p>
          <w:p w14:paraId="32F36909" w14:textId="6BACA373" w:rsidR="0015339F" w:rsidRDefault="0015339F" w:rsidP="007F35DF">
            <w:pPr>
              <w:spacing w:after="0" w:line="259" w:lineRule="auto"/>
              <w:ind w:left="0" w:right="0" w:firstLine="0"/>
              <w:jc w:val="left"/>
              <w:rPr>
                <w:sz w:val="20"/>
              </w:rPr>
            </w:pPr>
            <w:r>
              <w:rPr>
                <w:sz w:val="20"/>
              </w:rPr>
              <w:t>Regulated rentcharges no longer attract the remedies set out in s.121 of the Law of Property Act 1925 and new requirements for demand for payment apply</w:t>
            </w:r>
            <w:r>
              <w:rPr>
                <w:rStyle w:val="FootnoteReference"/>
                <w:sz w:val="20"/>
              </w:rPr>
              <w:footnoteReference w:id="48"/>
            </w:r>
            <w:r>
              <w:rPr>
                <w:sz w:val="20"/>
              </w:rPr>
              <w:t xml:space="preserve">. </w:t>
            </w:r>
          </w:p>
          <w:p w14:paraId="3831FCF2" w14:textId="77777777" w:rsidR="0015339F" w:rsidRDefault="0015339F" w:rsidP="007F35DF">
            <w:pPr>
              <w:spacing w:after="0" w:line="259" w:lineRule="auto"/>
              <w:ind w:left="0" w:right="0" w:firstLine="0"/>
              <w:jc w:val="left"/>
              <w:rPr>
                <w:sz w:val="20"/>
              </w:rPr>
            </w:pPr>
          </w:p>
          <w:p w14:paraId="0238E487" w14:textId="0F821C60" w:rsidR="00C3714E" w:rsidRDefault="00C3714E" w:rsidP="007F35DF">
            <w:pPr>
              <w:spacing w:after="0" w:line="259" w:lineRule="auto"/>
              <w:ind w:left="0" w:right="0" w:firstLine="0"/>
              <w:jc w:val="left"/>
              <w:rPr>
                <w:sz w:val="20"/>
              </w:rPr>
            </w:pPr>
            <w:r>
              <w:rPr>
                <w:sz w:val="20"/>
              </w:rPr>
              <w:t xml:space="preserve">Ensure the drafting of rentcharges excludes the remedies to enter or lease the property to recover arrears whether demanded or not. </w:t>
            </w:r>
          </w:p>
          <w:p w14:paraId="5BA3CCC8" w14:textId="77777777" w:rsidR="00C3714E" w:rsidRDefault="00C3714E" w:rsidP="007F35DF">
            <w:pPr>
              <w:spacing w:after="0" w:line="259" w:lineRule="auto"/>
              <w:ind w:left="0" w:right="0" w:firstLine="0"/>
              <w:jc w:val="left"/>
              <w:rPr>
                <w:sz w:val="20"/>
              </w:rPr>
            </w:pPr>
          </w:p>
          <w:p w14:paraId="1A41CA14" w14:textId="04192B48" w:rsidR="00C3714E" w:rsidRDefault="00C3714E" w:rsidP="007F35DF">
            <w:pPr>
              <w:spacing w:after="0" w:line="259" w:lineRule="auto"/>
              <w:ind w:left="0" w:right="0" w:firstLine="0"/>
              <w:jc w:val="left"/>
              <w:rPr>
                <w:sz w:val="20"/>
              </w:rPr>
            </w:pPr>
            <w:r>
              <w:rPr>
                <w:sz w:val="20"/>
              </w:rPr>
              <w:t xml:space="preserve">Direct the rentcharge owner, or those drafting a new rentcharge, to the </w:t>
            </w:r>
            <w:r w:rsidR="00152CA7">
              <w:rPr>
                <w:sz w:val="20"/>
              </w:rPr>
              <w:t>G</w:t>
            </w:r>
            <w:r>
              <w:rPr>
                <w:sz w:val="20"/>
              </w:rPr>
              <w:t>overnment’s announcement in 2017</w:t>
            </w:r>
            <w:r>
              <w:rPr>
                <w:rStyle w:val="FootnoteReference"/>
                <w:sz w:val="20"/>
              </w:rPr>
              <w:footnoteReference w:id="49"/>
            </w:r>
            <w:r>
              <w:rPr>
                <w:sz w:val="20"/>
              </w:rPr>
              <w:t xml:space="preserve"> and ensure any new rentcharge excludes s.121 and does not expressly grant additional rights which would subsist after s.121 is repealed.</w:t>
            </w:r>
          </w:p>
          <w:p w14:paraId="2CA1F136" w14:textId="77777777" w:rsidR="00C3714E" w:rsidRDefault="00C3714E" w:rsidP="007F35DF">
            <w:pPr>
              <w:spacing w:after="0" w:line="259" w:lineRule="auto"/>
              <w:ind w:left="0" w:right="0" w:firstLine="0"/>
              <w:jc w:val="left"/>
              <w:rPr>
                <w:sz w:val="20"/>
              </w:rPr>
            </w:pPr>
          </w:p>
          <w:p w14:paraId="37CB5D99" w14:textId="77777777" w:rsidR="00C3714E" w:rsidRDefault="00C3714E" w:rsidP="007F35DF">
            <w:pPr>
              <w:spacing w:after="0" w:line="259" w:lineRule="auto"/>
              <w:ind w:left="0" w:right="0" w:firstLine="0"/>
              <w:jc w:val="left"/>
              <w:rPr>
                <w:sz w:val="20"/>
              </w:rPr>
            </w:pPr>
            <w:r>
              <w:rPr>
                <w:sz w:val="20"/>
              </w:rPr>
              <w:t xml:space="preserve">Where possible include the right of the property owner to be consulted on major expenditure and a requirement for administration fees to be reasonable as proposed by the government announcement. </w:t>
            </w:r>
          </w:p>
          <w:p w14:paraId="2D273A3C" w14:textId="3527BF2E" w:rsidR="00CE0955" w:rsidRDefault="00CE0955" w:rsidP="007F35DF">
            <w:pPr>
              <w:spacing w:after="0" w:line="259" w:lineRule="auto"/>
              <w:ind w:left="0" w:right="0" w:firstLine="0"/>
              <w:jc w:val="left"/>
              <w:rPr>
                <w:sz w:val="20"/>
              </w:rPr>
            </w:pPr>
          </w:p>
        </w:tc>
      </w:tr>
    </w:tbl>
    <w:p w14:paraId="1B07FFDB" w14:textId="77777777" w:rsidR="00152CA7" w:rsidRDefault="00152CA7">
      <w:r>
        <w:br w:type="page"/>
      </w:r>
    </w:p>
    <w:tbl>
      <w:tblPr>
        <w:tblStyle w:val="TableGrid"/>
        <w:tblpPr w:leftFromText="180" w:rightFromText="180" w:vertAnchor="text" w:tblpX="-122" w:tblpY="1"/>
        <w:tblOverlap w:val="never"/>
        <w:tblW w:w="10475" w:type="dxa"/>
        <w:tblInd w:w="0" w:type="dxa"/>
        <w:tblLayout w:type="fixed"/>
        <w:tblCellMar>
          <w:top w:w="7" w:type="dxa"/>
          <w:left w:w="107" w:type="dxa"/>
          <w:right w:w="54" w:type="dxa"/>
        </w:tblCellMar>
        <w:tblLook w:val="04A0" w:firstRow="1" w:lastRow="0" w:firstColumn="1" w:lastColumn="0" w:noHBand="0" w:noVBand="1"/>
      </w:tblPr>
      <w:tblGrid>
        <w:gridCol w:w="3355"/>
        <w:gridCol w:w="2215"/>
        <w:gridCol w:w="4905"/>
      </w:tblGrid>
      <w:tr w:rsidR="007F35DF" w14:paraId="6E6DE393" w14:textId="77777777" w:rsidTr="008734D1">
        <w:trPr>
          <w:trHeight w:val="296"/>
        </w:trPr>
        <w:tc>
          <w:tcPr>
            <w:tcW w:w="3355" w:type="dxa"/>
            <w:tcBorders>
              <w:top w:val="single" w:sz="4" w:space="0" w:color="000000"/>
              <w:left w:val="single" w:sz="4" w:space="0" w:color="000000"/>
              <w:bottom w:val="single" w:sz="4" w:space="0" w:color="000000"/>
              <w:right w:val="single" w:sz="4" w:space="0" w:color="000000"/>
            </w:tcBorders>
            <w:shd w:val="clear" w:color="auto" w:fill="EAD5EF"/>
          </w:tcPr>
          <w:p w14:paraId="1BE451F1" w14:textId="244F8E04" w:rsidR="00CE0955" w:rsidRDefault="00CE0955" w:rsidP="007F35DF">
            <w:pPr>
              <w:spacing w:after="0" w:line="259" w:lineRule="auto"/>
              <w:ind w:left="0" w:right="0" w:firstLine="0"/>
              <w:jc w:val="left"/>
              <w:rPr>
                <w:b/>
                <w:sz w:val="20"/>
              </w:rPr>
            </w:pPr>
          </w:p>
          <w:p w14:paraId="7790E1BC" w14:textId="77777777" w:rsidR="003E701C" w:rsidRDefault="00480C54" w:rsidP="007F35DF">
            <w:pPr>
              <w:spacing w:after="0" w:line="259" w:lineRule="auto"/>
              <w:ind w:left="0" w:right="0" w:firstLine="0"/>
              <w:jc w:val="left"/>
              <w:rPr>
                <w:b/>
                <w:sz w:val="20"/>
              </w:rPr>
            </w:pPr>
            <w:r>
              <w:rPr>
                <w:b/>
                <w:sz w:val="20"/>
              </w:rPr>
              <w:t>8</w:t>
            </w:r>
            <w:r w:rsidR="003E701C">
              <w:rPr>
                <w:b/>
                <w:sz w:val="20"/>
              </w:rPr>
              <w:t>. Fraud Avoidance</w:t>
            </w:r>
          </w:p>
          <w:p w14:paraId="24D0526F" w14:textId="0FD28FD3" w:rsidR="00CE0955" w:rsidRDefault="00CE0955" w:rsidP="007F35DF">
            <w:pPr>
              <w:spacing w:after="0" w:line="259" w:lineRule="auto"/>
              <w:ind w:left="0" w:right="0" w:firstLine="0"/>
              <w:jc w:val="left"/>
              <w:rPr>
                <w:b/>
                <w:sz w:val="20"/>
              </w:rPr>
            </w:pPr>
          </w:p>
        </w:tc>
        <w:tc>
          <w:tcPr>
            <w:tcW w:w="22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BFEC17" w14:textId="77777777" w:rsidR="00CE0955" w:rsidRDefault="00CE0955" w:rsidP="007F35DF">
            <w:pPr>
              <w:spacing w:after="0" w:line="259" w:lineRule="auto"/>
              <w:ind w:left="0" w:right="0" w:firstLine="0"/>
              <w:jc w:val="left"/>
              <w:rPr>
                <w:sz w:val="20"/>
              </w:rPr>
            </w:pPr>
          </w:p>
          <w:p w14:paraId="66F735E7" w14:textId="21285E8C" w:rsidR="003E701C" w:rsidRDefault="003E701C" w:rsidP="007F35DF">
            <w:pPr>
              <w:spacing w:after="0" w:line="259" w:lineRule="auto"/>
              <w:ind w:left="0" w:right="0" w:firstLine="0"/>
              <w:jc w:val="left"/>
              <w:rPr>
                <w:sz w:val="20"/>
              </w:rPr>
            </w:pPr>
            <w:r>
              <w:rPr>
                <w:sz w:val="20"/>
              </w:rPr>
              <w:t>General</w:t>
            </w:r>
          </w:p>
        </w:tc>
        <w:tc>
          <w:tcPr>
            <w:tcW w:w="4905" w:type="dxa"/>
            <w:tcBorders>
              <w:top w:val="single" w:sz="4" w:space="0" w:color="000000"/>
              <w:left w:val="single" w:sz="4" w:space="0" w:color="000000"/>
              <w:bottom w:val="single" w:sz="4" w:space="0" w:color="000000"/>
              <w:right w:val="single" w:sz="4" w:space="0" w:color="000000"/>
            </w:tcBorders>
          </w:tcPr>
          <w:p w14:paraId="4A4FB2B2" w14:textId="77777777" w:rsidR="00CE0955" w:rsidRDefault="00CE0955" w:rsidP="007F35DF">
            <w:pPr>
              <w:spacing w:after="0" w:line="259" w:lineRule="auto"/>
              <w:ind w:left="4" w:right="0" w:firstLine="0"/>
              <w:jc w:val="left"/>
              <w:rPr>
                <w:sz w:val="20"/>
              </w:rPr>
            </w:pPr>
          </w:p>
          <w:p w14:paraId="34DBC6FF" w14:textId="6E873D9D" w:rsidR="003E701C" w:rsidRDefault="003E701C" w:rsidP="007F35DF">
            <w:pPr>
              <w:spacing w:after="0" w:line="259" w:lineRule="auto"/>
              <w:ind w:left="4" w:right="0" w:firstLine="0"/>
              <w:jc w:val="left"/>
              <w:rPr>
                <w:sz w:val="20"/>
              </w:rPr>
            </w:pPr>
            <w:r>
              <w:rPr>
                <w:sz w:val="20"/>
              </w:rPr>
              <w:t>Implement the CA Cyber Protocol</w:t>
            </w:r>
            <w:r w:rsidR="00CE0955">
              <w:rPr>
                <w:sz w:val="20"/>
              </w:rPr>
              <w:t>.</w:t>
            </w:r>
          </w:p>
        </w:tc>
      </w:tr>
      <w:tr w:rsidR="007F35DF" w14:paraId="35550C90" w14:textId="77777777" w:rsidTr="008734D1">
        <w:trPr>
          <w:trHeight w:val="51"/>
        </w:trPr>
        <w:tc>
          <w:tcPr>
            <w:tcW w:w="3355" w:type="dxa"/>
            <w:tcBorders>
              <w:top w:val="single" w:sz="4" w:space="0" w:color="000000"/>
              <w:left w:val="single" w:sz="4" w:space="0" w:color="000000"/>
              <w:bottom w:val="single" w:sz="4" w:space="0" w:color="000000"/>
              <w:right w:val="single" w:sz="4" w:space="0" w:color="000000"/>
            </w:tcBorders>
            <w:shd w:val="clear" w:color="auto" w:fill="EAD5EF"/>
          </w:tcPr>
          <w:p w14:paraId="042A421B" w14:textId="77777777" w:rsidR="00CE0955" w:rsidRDefault="00CE0955" w:rsidP="007F35DF">
            <w:pPr>
              <w:spacing w:after="0" w:line="259" w:lineRule="auto"/>
              <w:ind w:left="0" w:right="0" w:firstLine="0"/>
              <w:jc w:val="left"/>
              <w:rPr>
                <w:b/>
                <w:sz w:val="20"/>
              </w:rPr>
            </w:pPr>
          </w:p>
          <w:p w14:paraId="08C06E6D" w14:textId="55539FE7" w:rsidR="003E701C" w:rsidRDefault="00480C54" w:rsidP="007F35DF">
            <w:pPr>
              <w:spacing w:after="0" w:line="259" w:lineRule="auto"/>
              <w:ind w:left="0" w:right="0" w:firstLine="0"/>
              <w:jc w:val="left"/>
              <w:rPr>
                <w:b/>
                <w:sz w:val="20"/>
              </w:rPr>
            </w:pPr>
            <w:r>
              <w:rPr>
                <w:b/>
                <w:sz w:val="20"/>
              </w:rPr>
              <w:t>8</w:t>
            </w:r>
            <w:r w:rsidR="003E701C">
              <w:rPr>
                <w:b/>
                <w:sz w:val="20"/>
              </w:rPr>
              <w:t xml:space="preserve">. Fraud Avoidance </w:t>
            </w:r>
          </w:p>
        </w:tc>
        <w:tc>
          <w:tcPr>
            <w:tcW w:w="22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10727B" w14:textId="77777777" w:rsidR="00CE0955" w:rsidRDefault="00CE0955" w:rsidP="007F35DF">
            <w:pPr>
              <w:spacing w:after="0" w:line="259" w:lineRule="auto"/>
              <w:ind w:left="0" w:right="0" w:firstLine="0"/>
              <w:jc w:val="left"/>
              <w:rPr>
                <w:sz w:val="20"/>
              </w:rPr>
            </w:pPr>
          </w:p>
          <w:p w14:paraId="5958EDFD" w14:textId="6436A979" w:rsidR="003E701C" w:rsidRDefault="003E701C" w:rsidP="007F35DF">
            <w:pPr>
              <w:spacing w:after="0" w:line="259" w:lineRule="auto"/>
              <w:ind w:left="0" w:right="0" w:firstLine="0"/>
              <w:jc w:val="left"/>
              <w:rPr>
                <w:sz w:val="20"/>
              </w:rPr>
            </w:pPr>
            <w:r>
              <w:rPr>
                <w:sz w:val="20"/>
              </w:rPr>
              <w:t>Seller ID Fraud</w:t>
            </w:r>
          </w:p>
        </w:tc>
        <w:tc>
          <w:tcPr>
            <w:tcW w:w="4905" w:type="dxa"/>
            <w:tcBorders>
              <w:top w:val="single" w:sz="4" w:space="0" w:color="000000"/>
              <w:left w:val="single" w:sz="4" w:space="0" w:color="000000"/>
              <w:bottom w:val="single" w:sz="4" w:space="0" w:color="000000"/>
              <w:right w:val="single" w:sz="4" w:space="0" w:color="000000"/>
            </w:tcBorders>
          </w:tcPr>
          <w:p w14:paraId="7744C73D" w14:textId="77777777" w:rsidR="00CE0955" w:rsidRDefault="00CE0955" w:rsidP="007F35DF">
            <w:pPr>
              <w:spacing w:after="0" w:line="259" w:lineRule="auto"/>
              <w:ind w:left="4" w:right="0" w:firstLine="0"/>
              <w:jc w:val="left"/>
              <w:rPr>
                <w:sz w:val="20"/>
              </w:rPr>
            </w:pPr>
          </w:p>
          <w:p w14:paraId="4AE0F270" w14:textId="3204A543" w:rsidR="007D06A0" w:rsidRDefault="003E701C" w:rsidP="007F35DF">
            <w:pPr>
              <w:spacing w:after="0" w:line="259" w:lineRule="auto"/>
              <w:ind w:left="4" w:right="0" w:firstLine="0"/>
              <w:jc w:val="left"/>
              <w:rPr>
                <w:sz w:val="20"/>
              </w:rPr>
            </w:pPr>
            <w:r>
              <w:rPr>
                <w:sz w:val="20"/>
              </w:rPr>
              <w:t>Identify any property which is high</w:t>
            </w:r>
            <w:r w:rsidR="00E16D3A">
              <w:rPr>
                <w:sz w:val="20"/>
              </w:rPr>
              <w:t>-</w:t>
            </w:r>
            <w:r>
              <w:rPr>
                <w:sz w:val="20"/>
              </w:rPr>
              <w:t>risk and apply enhanced due diligence</w:t>
            </w:r>
            <w:r w:rsidR="007D06A0">
              <w:rPr>
                <w:sz w:val="20"/>
              </w:rPr>
              <w:t xml:space="preserve"> to establish that the known information about the owner corresponds with the person with whom you are dealing</w:t>
            </w:r>
            <w:r w:rsidR="007D06A0">
              <w:rPr>
                <w:rStyle w:val="FootnoteReference"/>
                <w:sz w:val="20"/>
              </w:rPr>
              <w:footnoteReference w:id="50"/>
            </w:r>
            <w:r w:rsidR="007D06A0">
              <w:rPr>
                <w:sz w:val="20"/>
              </w:rPr>
              <w:t>.</w:t>
            </w:r>
          </w:p>
          <w:p w14:paraId="4963843F" w14:textId="77777777" w:rsidR="007D06A0" w:rsidRDefault="007D06A0" w:rsidP="007F35DF">
            <w:pPr>
              <w:spacing w:after="0" w:line="259" w:lineRule="auto"/>
              <w:ind w:left="4" w:right="0" w:firstLine="0"/>
              <w:jc w:val="left"/>
              <w:rPr>
                <w:sz w:val="20"/>
              </w:rPr>
            </w:pPr>
          </w:p>
          <w:p w14:paraId="43AEEB10" w14:textId="4263E6C4" w:rsidR="003E701C" w:rsidRDefault="007D06A0" w:rsidP="007F35DF">
            <w:pPr>
              <w:spacing w:after="0" w:line="259" w:lineRule="auto"/>
              <w:ind w:left="4" w:right="0" w:firstLine="0"/>
              <w:jc w:val="left"/>
              <w:rPr>
                <w:sz w:val="20"/>
              </w:rPr>
            </w:pPr>
            <w:r>
              <w:rPr>
                <w:sz w:val="20"/>
              </w:rPr>
              <w:t>High</w:t>
            </w:r>
            <w:r w:rsidR="00E16D3A">
              <w:rPr>
                <w:sz w:val="20"/>
              </w:rPr>
              <w:t>-</w:t>
            </w:r>
            <w:r>
              <w:rPr>
                <w:sz w:val="20"/>
              </w:rPr>
              <w:t>risk property would include</w:t>
            </w:r>
            <w:r w:rsidR="003E701C">
              <w:rPr>
                <w:sz w:val="20"/>
              </w:rPr>
              <w:t>:</w:t>
            </w:r>
          </w:p>
          <w:p w14:paraId="4CE2A0BD" w14:textId="0157AE12" w:rsidR="003E701C" w:rsidRDefault="003E701C" w:rsidP="00122A9E">
            <w:pPr>
              <w:pStyle w:val="ListParagraph"/>
              <w:numPr>
                <w:ilvl w:val="0"/>
                <w:numId w:val="9"/>
              </w:numPr>
              <w:spacing w:after="0" w:line="259" w:lineRule="auto"/>
              <w:ind w:left="284" w:right="0" w:hanging="227"/>
              <w:jc w:val="left"/>
              <w:rPr>
                <w:sz w:val="20"/>
              </w:rPr>
            </w:pPr>
            <w:r>
              <w:rPr>
                <w:sz w:val="20"/>
              </w:rPr>
              <w:t>Vacant or tenanted</w:t>
            </w:r>
            <w:r w:rsidR="007E566B">
              <w:rPr>
                <w:sz w:val="20"/>
              </w:rPr>
              <w:t>.</w:t>
            </w:r>
          </w:p>
          <w:p w14:paraId="26E876EE" w14:textId="1BBDA250" w:rsidR="003E701C" w:rsidRDefault="003E701C" w:rsidP="00122A9E">
            <w:pPr>
              <w:pStyle w:val="ListParagraph"/>
              <w:numPr>
                <w:ilvl w:val="0"/>
                <w:numId w:val="9"/>
              </w:numPr>
              <w:spacing w:after="0" w:line="259" w:lineRule="auto"/>
              <w:ind w:left="284" w:right="0" w:hanging="227"/>
              <w:jc w:val="left"/>
              <w:rPr>
                <w:sz w:val="20"/>
              </w:rPr>
            </w:pPr>
            <w:r>
              <w:rPr>
                <w:sz w:val="20"/>
              </w:rPr>
              <w:t>Unmortgaged</w:t>
            </w:r>
            <w:r w:rsidR="007E566B">
              <w:rPr>
                <w:sz w:val="20"/>
              </w:rPr>
              <w:t>.</w:t>
            </w:r>
          </w:p>
          <w:p w14:paraId="3F273DE3" w14:textId="55088C43" w:rsidR="003E701C" w:rsidRDefault="003E701C" w:rsidP="00122A9E">
            <w:pPr>
              <w:pStyle w:val="ListParagraph"/>
              <w:numPr>
                <w:ilvl w:val="0"/>
                <w:numId w:val="9"/>
              </w:numPr>
              <w:spacing w:after="0" w:line="259" w:lineRule="auto"/>
              <w:ind w:left="284" w:right="0" w:hanging="227"/>
              <w:jc w:val="left"/>
              <w:rPr>
                <w:sz w:val="20"/>
              </w:rPr>
            </w:pPr>
            <w:r>
              <w:rPr>
                <w:sz w:val="20"/>
              </w:rPr>
              <w:t>Where the seller does not occupy</w:t>
            </w:r>
            <w:r w:rsidR="007E566B">
              <w:rPr>
                <w:sz w:val="20"/>
              </w:rPr>
              <w:t>.</w:t>
            </w:r>
          </w:p>
          <w:p w14:paraId="5F7DF47F" w14:textId="43F9CA55" w:rsidR="003E701C" w:rsidRDefault="003E701C" w:rsidP="00122A9E">
            <w:pPr>
              <w:pStyle w:val="ListParagraph"/>
              <w:numPr>
                <w:ilvl w:val="0"/>
                <w:numId w:val="9"/>
              </w:numPr>
              <w:spacing w:after="0" w:line="259" w:lineRule="auto"/>
              <w:ind w:left="284" w:right="0" w:hanging="227"/>
              <w:jc w:val="left"/>
              <w:rPr>
                <w:sz w:val="20"/>
              </w:rPr>
            </w:pPr>
            <w:r>
              <w:rPr>
                <w:sz w:val="20"/>
              </w:rPr>
              <w:t>The seller is a sole owner</w:t>
            </w:r>
            <w:r w:rsidR="007E566B">
              <w:rPr>
                <w:sz w:val="20"/>
              </w:rPr>
              <w:t>.</w:t>
            </w:r>
          </w:p>
          <w:p w14:paraId="2DD2A6B1" w14:textId="60D3F4E5" w:rsidR="003E701C" w:rsidRDefault="003E701C" w:rsidP="00122A9E">
            <w:pPr>
              <w:pStyle w:val="ListParagraph"/>
              <w:numPr>
                <w:ilvl w:val="0"/>
                <w:numId w:val="9"/>
              </w:numPr>
              <w:spacing w:after="0" w:line="259" w:lineRule="auto"/>
              <w:ind w:left="284" w:right="0" w:hanging="227"/>
              <w:jc w:val="left"/>
              <w:rPr>
                <w:sz w:val="20"/>
              </w:rPr>
            </w:pPr>
            <w:r>
              <w:rPr>
                <w:sz w:val="20"/>
              </w:rPr>
              <w:t>The seller has owned it for some time</w:t>
            </w:r>
            <w:r w:rsidR="007E566B">
              <w:rPr>
                <w:sz w:val="20"/>
              </w:rPr>
              <w:t>.</w:t>
            </w:r>
          </w:p>
          <w:p w14:paraId="7E198D77" w14:textId="77777777" w:rsidR="007D06A0" w:rsidRPr="005826CC" w:rsidRDefault="007D06A0" w:rsidP="007F35DF">
            <w:pPr>
              <w:spacing w:after="0" w:line="259" w:lineRule="auto"/>
              <w:ind w:right="0"/>
              <w:jc w:val="left"/>
              <w:rPr>
                <w:sz w:val="20"/>
              </w:rPr>
            </w:pPr>
          </w:p>
        </w:tc>
      </w:tr>
      <w:tr w:rsidR="007F35DF" w14:paraId="2D6AFBD8" w14:textId="77777777" w:rsidTr="008734D1">
        <w:trPr>
          <w:trHeight w:val="735"/>
        </w:trPr>
        <w:tc>
          <w:tcPr>
            <w:tcW w:w="3355" w:type="dxa"/>
            <w:tcBorders>
              <w:top w:val="single" w:sz="4" w:space="0" w:color="000000"/>
              <w:left w:val="single" w:sz="4" w:space="0" w:color="000000"/>
              <w:bottom w:val="single" w:sz="4" w:space="0" w:color="000000"/>
              <w:right w:val="single" w:sz="4" w:space="0" w:color="000000"/>
            </w:tcBorders>
            <w:shd w:val="clear" w:color="auto" w:fill="EAD5EF"/>
          </w:tcPr>
          <w:p w14:paraId="3A939D02" w14:textId="77777777" w:rsidR="00CE0955" w:rsidRPr="00AC39F0" w:rsidRDefault="00CE0955" w:rsidP="007F35DF">
            <w:pPr>
              <w:spacing w:after="0" w:line="259" w:lineRule="auto"/>
              <w:ind w:left="0" w:right="0" w:firstLine="0"/>
              <w:jc w:val="left"/>
              <w:rPr>
                <w:b/>
                <w:color w:val="auto"/>
                <w:sz w:val="20"/>
              </w:rPr>
            </w:pPr>
          </w:p>
          <w:p w14:paraId="1ACFAD62" w14:textId="4D9A7BFE" w:rsidR="003E701C" w:rsidRPr="00AC39F0" w:rsidRDefault="00480C54" w:rsidP="007F35DF">
            <w:pPr>
              <w:spacing w:after="0" w:line="259" w:lineRule="auto"/>
              <w:ind w:left="0" w:right="0" w:firstLine="0"/>
              <w:jc w:val="left"/>
              <w:rPr>
                <w:b/>
                <w:color w:val="auto"/>
                <w:sz w:val="20"/>
              </w:rPr>
            </w:pPr>
            <w:r w:rsidRPr="00AC39F0">
              <w:rPr>
                <w:b/>
                <w:color w:val="auto"/>
                <w:sz w:val="20"/>
              </w:rPr>
              <w:t>8</w:t>
            </w:r>
            <w:r w:rsidR="003E701C" w:rsidRPr="00AC39F0">
              <w:rPr>
                <w:b/>
                <w:color w:val="auto"/>
                <w:sz w:val="20"/>
              </w:rPr>
              <w:t>. Fraud Avoidance</w:t>
            </w:r>
          </w:p>
        </w:tc>
        <w:tc>
          <w:tcPr>
            <w:tcW w:w="22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2F609E" w14:textId="77777777" w:rsidR="00CE0955" w:rsidRPr="00AC39F0" w:rsidRDefault="00CE0955" w:rsidP="007F35DF">
            <w:pPr>
              <w:spacing w:after="0" w:line="259" w:lineRule="auto"/>
              <w:ind w:left="0" w:right="0" w:firstLine="0"/>
              <w:jc w:val="left"/>
              <w:rPr>
                <w:color w:val="auto"/>
                <w:sz w:val="20"/>
              </w:rPr>
            </w:pPr>
          </w:p>
          <w:p w14:paraId="2C3B3D81" w14:textId="68890FC8" w:rsidR="003E701C" w:rsidRPr="00AC39F0" w:rsidRDefault="003E701C" w:rsidP="007F35DF">
            <w:pPr>
              <w:spacing w:after="0" w:line="259" w:lineRule="auto"/>
              <w:ind w:left="0" w:right="0" w:firstLine="0"/>
              <w:jc w:val="left"/>
              <w:rPr>
                <w:color w:val="auto"/>
                <w:sz w:val="20"/>
              </w:rPr>
            </w:pPr>
            <w:r w:rsidRPr="00AC39F0">
              <w:rPr>
                <w:color w:val="auto"/>
                <w:sz w:val="20"/>
              </w:rPr>
              <w:t>Protecting the sale proceeds</w:t>
            </w:r>
          </w:p>
        </w:tc>
        <w:tc>
          <w:tcPr>
            <w:tcW w:w="4905" w:type="dxa"/>
            <w:tcBorders>
              <w:top w:val="single" w:sz="4" w:space="0" w:color="000000"/>
              <w:left w:val="single" w:sz="4" w:space="0" w:color="000000"/>
              <w:bottom w:val="single" w:sz="4" w:space="0" w:color="000000"/>
              <w:right w:val="single" w:sz="4" w:space="0" w:color="000000"/>
            </w:tcBorders>
          </w:tcPr>
          <w:p w14:paraId="206BF454" w14:textId="77777777" w:rsidR="00CE0955" w:rsidRPr="00AC39F0" w:rsidRDefault="00CE0955" w:rsidP="007F35DF">
            <w:pPr>
              <w:spacing w:after="0" w:line="259" w:lineRule="auto"/>
              <w:ind w:left="4" w:right="0" w:firstLine="0"/>
              <w:jc w:val="left"/>
              <w:rPr>
                <w:color w:val="auto"/>
                <w:sz w:val="20"/>
              </w:rPr>
            </w:pPr>
          </w:p>
          <w:p w14:paraId="77B33A7A" w14:textId="249C6F70" w:rsidR="003E701C" w:rsidRPr="00AC39F0" w:rsidRDefault="003E701C" w:rsidP="007F35DF">
            <w:pPr>
              <w:spacing w:after="0" w:line="259" w:lineRule="auto"/>
              <w:ind w:left="4" w:right="0" w:firstLine="0"/>
              <w:jc w:val="left"/>
              <w:rPr>
                <w:color w:val="auto"/>
                <w:sz w:val="20"/>
              </w:rPr>
            </w:pPr>
            <w:r w:rsidRPr="00AC39F0">
              <w:rPr>
                <w:color w:val="auto"/>
                <w:sz w:val="20"/>
              </w:rPr>
              <w:t>Verify the account to which the proceeds of sale will be sent whether that is to a seller’s conveyancer or the seller’s personal bank account.</w:t>
            </w:r>
          </w:p>
          <w:p w14:paraId="31D75880" w14:textId="77777777" w:rsidR="003E701C" w:rsidRPr="00AC39F0" w:rsidRDefault="003E701C" w:rsidP="007F35DF">
            <w:pPr>
              <w:spacing w:after="0" w:line="259" w:lineRule="auto"/>
              <w:ind w:left="4" w:right="0" w:firstLine="0"/>
              <w:jc w:val="left"/>
              <w:rPr>
                <w:color w:val="auto"/>
                <w:sz w:val="20"/>
              </w:rPr>
            </w:pPr>
          </w:p>
        </w:tc>
      </w:tr>
      <w:tr w:rsidR="001F017C" w:rsidRPr="001F017C" w14:paraId="74C0221B" w14:textId="77777777" w:rsidTr="008734D1">
        <w:trPr>
          <w:trHeight w:val="735"/>
        </w:trPr>
        <w:tc>
          <w:tcPr>
            <w:tcW w:w="3355" w:type="dxa"/>
            <w:tcBorders>
              <w:top w:val="single" w:sz="4" w:space="0" w:color="000000"/>
              <w:left w:val="single" w:sz="4" w:space="0" w:color="000000"/>
              <w:bottom w:val="single" w:sz="4" w:space="0" w:color="000000"/>
              <w:right w:val="single" w:sz="4" w:space="0" w:color="000000"/>
            </w:tcBorders>
            <w:shd w:val="clear" w:color="auto" w:fill="EAD5EF"/>
          </w:tcPr>
          <w:p w14:paraId="32293940" w14:textId="2AA45C5D" w:rsidR="0016566E" w:rsidRPr="00AC39F0" w:rsidRDefault="0016566E" w:rsidP="007F35DF">
            <w:pPr>
              <w:spacing w:after="0" w:line="259" w:lineRule="auto"/>
              <w:ind w:left="0" w:right="0" w:firstLine="0"/>
              <w:jc w:val="left"/>
              <w:rPr>
                <w:b/>
                <w:color w:val="auto"/>
                <w:sz w:val="20"/>
              </w:rPr>
            </w:pPr>
            <w:r w:rsidRPr="00AC39F0">
              <w:rPr>
                <w:b/>
                <w:color w:val="auto"/>
                <w:sz w:val="20"/>
              </w:rPr>
              <w:t>8. Fraud Avoidance</w:t>
            </w:r>
          </w:p>
        </w:tc>
        <w:tc>
          <w:tcPr>
            <w:tcW w:w="22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8612D4" w14:textId="5906C3C7" w:rsidR="0016566E" w:rsidRPr="00AC39F0" w:rsidRDefault="0016566E" w:rsidP="007F35DF">
            <w:pPr>
              <w:spacing w:after="0" w:line="259" w:lineRule="auto"/>
              <w:ind w:left="0" w:right="0" w:firstLine="0"/>
              <w:jc w:val="left"/>
              <w:rPr>
                <w:color w:val="auto"/>
                <w:sz w:val="20"/>
              </w:rPr>
            </w:pPr>
            <w:r w:rsidRPr="00AC39F0">
              <w:rPr>
                <w:color w:val="auto"/>
                <w:sz w:val="20"/>
              </w:rPr>
              <w:t>Conveyancer Certified Electronic Signature</w:t>
            </w:r>
          </w:p>
        </w:tc>
        <w:tc>
          <w:tcPr>
            <w:tcW w:w="4905" w:type="dxa"/>
            <w:tcBorders>
              <w:top w:val="single" w:sz="4" w:space="0" w:color="000000"/>
              <w:left w:val="single" w:sz="4" w:space="0" w:color="000000"/>
              <w:bottom w:val="single" w:sz="4" w:space="0" w:color="000000"/>
              <w:right w:val="single" w:sz="4" w:space="0" w:color="000000"/>
            </w:tcBorders>
          </w:tcPr>
          <w:p w14:paraId="1C8D5344" w14:textId="61D260DF" w:rsidR="0016566E" w:rsidRPr="00AC39F0" w:rsidRDefault="0016566E" w:rsidP="0016566E">
            <w:pPr>
              <w:spacing w:after="0" w:line="259" w:lineRule="auto"/>
              <w:ind w:right="0"/>
              <w:jc w:val="left"/>
              <w:rPr>
                <w:color w:val="auto"/>
                <w:sz w:val="20"/>
              </w:rPr>
            </w:pPr>
            <w:r w:rsidRPr="00AC39F0">
              <w:rPr>
                <w:rFonts w:ascii="Aptos" w:hAnsi="Aptos"/>
                <w:color w:val="auto"/>
                <w:sz w:val="24"/>
                <w:szCs w:val="24"/>
              </w:rPr>
              <w:t>Include a Special Condition in the contract to ensure that the required Certificate is produced on Completion. “Where a party has executed the [</w:t>
            </w:r>
            <w:r w:rsidRPr="00AC39F0">
              <w:rPr>
                <w:rFonts w:ascii="Aptos" w:hAnsi="Aptos"/>
                <w:i/>
                <w:iCs/>
                <w:color w:val="auto"/>
                <w:sz w:val="24"/>
                <w:szCs w:val="24"/>
              </w:rPr>
              <w:t>state deed</w:t>
            </w:r>
            <w:r w:rsidRPr="00AC39F0">
              <w:rPr>
                <w:rFonts w:ascii="Aptos" w:hAnsi="Aptos"/>
                <w:color w:val="auto"/>
                <w:sz w:val="24"/>
                <w:szCs w:val="24"/>
              </w:rPr>
              <w:t>]  by way of a conveyancer - certified electronic signature  that party  instructs their conveyancer to provide the Certificate as to Electronic Signature (in the form set out in Appendix 2 of HM Land Registry  Practice Guide 82) signed by a regulated conveyancer in the firm of their conveyancer to be sent to the other conveyancer on the day of completion along with the electronically executed deed.”</w:t>
            </w:r>
          </w:p>
        </w:tc>
      </w:tr>
    </w:tbl>
    <w:p w14:paraId="7C4C6309" w14:textId="66EF6F34" w:rsidR="000360F1" w:rsidRDefault="00E07109">
      <w:pPr>
        <w:spacing w:after="0" w:line="259" w:lineRule="auto"/>
        <w:ind w:left="632" w:right="0" w:firstLine="0"/>
        <w:jc w:val="left"/>
      </w:pPr>
      <w:r>
        <w:rPr>
          <w:sz w:val="20"/>
        </w:rPr>
        <w:br w:type="textWrapping" w:clear="all"/>
      </w:r>
      <w:r w:rsidR="00B512BB">
        <w:rPr>
          <w:sz w:val="20"/>
        </w:rPr>
        <w:t xml:space="preserve"> </w:t>
      </w:r>
    </w:p>
    <w:sectPr w:rsidR="000360F1" w:rsidSect="00122A9E">
      <w:headerReference w:type="even" r:id="rId8"/>
      <w:headerReference w:type="default" r:id="rId9"/>
      <w:footerReference w:type="even" r:id="rId10"/>
      <w:footerReference w:type="default" r:id="rId11"/>
      <w:headerReference w:type="first" r:id="rId12"/>
      <w:footerReference w:type="first" r:id="rId13"/>
      <w:pgSz w:w="11906" w:h="16838"/>
      <w:pgMar w:top="567" w:right="816" w:bottom="1247" w:left="811" w:header="227"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0BB7" w14:textId="77777777" w:rsidR="001A5F19" w:rsidRDefault="001A5F19">
      <w:pPr>
        <w:spacing w:after="0" w:line="240" w:lineRule="auto"/>
      </w:pPr>
      <w:r>
        <w:separator/>
      </w:r>
    </w:p>
  </w:endnote>
  <w:endnote w:type="continuationSeparator" w:id="0">
    <w:p w14:paraId="4F4A1FFD" w14:textId="77777777" w:rsidR="001A5F19" w:rsidRDefault="001A5F19">
      <w:pPr>
        <w:spacing w:after="0" w:line="240" w:lineRule="auto"/>
      </w:pPr>
      <w:r>
        <w:continuationSeparator/>
      </w:r>
    </w:p>
  </w:endnote>
  <w:endnote w:type="continuationNotice" w:id="1">
    <w:p w14:paraId="21D55796" w14:textId="77777777" w:rsidR="001A5F19" w:rsidRDefault="001A5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1785" w14:textId="77777777" w:rsidR="00FE4484" w:rsidRDefault="00FE4484">
    <w:pPr>
      <w:tabs>
        <w:tab w:val="center" w:pos="1750"/>
        <w:tab w:val="center" w:pos="5146"/>
      </w:tabs>
      <w:spacing w:after="0" w:line="259" w:lineRule="auto"/>
      <w:ind w:left="0" w:right="0" w:firstLine="0"/>
      <w:jc w:val="left"/>
    </w:pPr>
    <w:r>
      <w:rPr>
        <w:rFonts w:ascii="Calibri" w:eastAsia="Calibri" w:hAnsi="Calibri" w:cs="Calibri"/>
      </w:rPr>
      <w:tab/>
    </w:r>
    <w:r>
      <w:t>2</w:t>
    </w:r>
    <w:r>
      <w:rPr>
        <w:vertAlign w:val="superscript"/>
      </w:rPr>
      <w:t>nd</w:t>
    </w:r>
    <w:r>
      <w:t xml:space="preserve"> </w:t>
    </w:r>
    <w:proofErr w:type="gramStart"/>
    <w:r>
      <w:t>Edition  03.12.2015</w:t>
    </w:r>
    <w:proofErr w:type="gramEnd"/>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C66E" w14:textId="23E7559A" w:rsidR="00FE4484" w:rsidRDefault="00AC39F0">
    <w:pPr>
      <w:tabs>
        <w:tab w:val="center" w:pos="1750"/>
        <w:tab w:val="center" w:pos="5146"/>
      </w:tabs>
      <w:spacing w:after="0" w:line="259" w:lineRule="auto"/>
      <w:ind w:left="0" w:right="0" w:firstLine="0"/>
      <w:jc w:val="left"/>
    </w:pPr>
    <w:r>
      <w:rPr>
        <w:sz w:val="18"/>
        <w:szCs w:val="18"/>
      </w:rPr>
      <w:t>7</w:t>
    </w:r>
    <w:r w:rsidRPr="00AC39F0">
      <w:rPr>
        <w:sz w:val="18"/>
        <w:szCs w:val="18"/>
        <w:vertAlign w:val="superscript"/>
      </w:rPr>
      <w:t>th</w:t>
    </w:r>
    <w:r>
      <w:rPr>
        <w:sz w:val="18"/>
        <w:szCs w:val="18"/>
      </w:rPr>
      <w:t xml:space="preserve"> Edition 2025</w:t>
    </w:r>
    <w:r w:rsidR="00FE4484" w:rsidRPr="00122A9E">
      <w:rPr>
        <w:sz w:val="18"/>
        <w:szCs w:val="18"/>
      </w:rPr>
      <w:tab/>
    </w:r>
    <w:r w:rsidR="00FE4484">
      <w:tab/>
    </w:r>
    <w:r w:rsidR="00FE4484">
      <w:fldChar w:fldCharType="begin"/>
    </w:r>
    <w:r w:rsidR="00FE4484">
      <w:instrText xml:space="preserve"> PAGE   \* MERGEFORMAT </w:instrText>
    </w:r>
    <w:r w:rsidR="00FE4484">
      <w:fldChar w:fldCharType="separate"/>
    </w:r>
    <w:r w:rsidR="00865CFE">
      <w:rPr>
        <w:noProof/>
      </w:rPr>
      <w:t>13</w:t>
    </w:r>
    <w:r w:rsidR="00FE4484">
      <w:fldChar w:fldCharType="end"/>
    </w:r>
    <w:r w:rsidR="00FE448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7279" w14:textId="7C3AE1E6" w:rsidR="00FE4484" w:rsidRDefault="00FE4484">
    <w:pPr>
      <w:tabs>
        <w:tab w:val="center" w:pos="1750"/>
        <w:tab w:val="center" w:pos="5146"/>
      </w:tabs>
      <w:spacing w:after="0" w:line="259" w:lineRule="auto"/>
      <w:ind w:left="0" w:right="0" w:firstLine="0"/>
      <w:jc w:val="left"/>
    </w:pPr>
    <w:r>
      <w:rPr>
        <w:rFonts w:ascii="Calibri" w:eastAsia="Calibri" w:hAnsi="Calibri" w:cs="Calibri"/>
      </w:rPr>
      <w:tab/>
    </w:r>
    <w:r w:rsidR="00BA315E">
      <w:rPr>
        <w:sz w:val="18"/>
        <w:szCs w:val="18"/>
      </w:rPr>
      <w:t>6</w:t>
    </w:r>
    <w:r w:rsidR="00BA315E" w:rsidRPr="00570E81">
      <w:rPr>
        <w:sz w:val="18"/>
        <w:szCs w:val="18"/>
        <w:vertAlign w:val="superscript"/>
      </w:rPr>
      <w:t>th</w:t>
    </w:r>
    <w:r w:rsidR="00BA315E">
      <w:rPr>
        <w:sz w:val="18"/>
        <w:szCs w:val="18"/>
      </w:rPr>
      <w:t xml:space="preserve"> </w:t>
    </w:r>
    <w:r w:rsidR="00BA315E" w:rsidRPr="00122A9E">
      <w:rPr>
        <w:sz w:val="18"/>
        <w:szCs w:val="18"/>
      </w:rPr>
      <w:t>Edition 202</w:t>
    </w:r>
    <w:r w:rsidR="00BA315E">
      <w:rPr>
        <w:sz w:val="18"/>
        <w:szCs w:val="18"/>
      </w:rPr>
      <w:t>4</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5770" w14:textId="77777777" w:rsidR="001A5F19" w:rsidRDefault="001A5F19">
      <w:pPr>
        <w:spacing w:after="0" w:line="264" w:lineRule="auto"/>
        <w:ind w:left="632" w:right="265" w:firstLine="0"/>
      </w:pPr>
      <w:r>
        <w:separator/>
      </w:r>
    </w:p>
  </w:footnote>
  <w:footnote w:type="continuationSeparator" w:id="0">
    <w:p w14:paraId="6CC6B938" w14:textId="77777777" w:rsidR="001A5F19" w:rsidRDefault="001A5F19">
      <w:pPr>
        <w:spacing w:after="0" w:line="264" w:lineRule="auto"/>
        <w:ind w:left="632" w:right="265" w:firstLine="0"/>
      </w:pPr>
      <w:r>
        <w:continuationSeparator/>
      </w:r>
    </w:p>
  </w:footnote>
  <w:footnote w:type="continuationNotice" w:id="1">
    <w:p w14:paraId="44B75D78" w14:textId="77777777" w:rsidR="001A5F19" w:rsidRDefault="001A5F19">
      <w:pPr>
        <w:spacing w:after="0" w:line="240" w:lineRule="auto"/>
      </w:pPr>
    </w:p>
  </w:footnote>
  <w:footnote w:id="2">
    <w:p w14:paraId="24F8B101" w14:textId="77777777" w:rsidR="00FE4484" w:rsidRPr="005826CC" w:rsidRDefault="00FE4484" w:rsidP="005826CC">
      <w:pPr>
        <w:pStyle w:val="footnotedescription"/>
        <w:spacing w:line="264" w:lineRule="auto"/>
        <w:ind w:left="622" w:right="265"/>
        <w:jc w:val="both"/>
        <w:rPr>
          <w:sz w:val="16"/>
          <w:szCs w:val="16"/>
        </w:rPr>
      </w:pPr>
      <w:r w:rsidRPr="005826CC">
        <w:rPr>
          <w:rStyle w:val="footnotemark"/>
          <w:sz w:val="16"/>
          <w:szCs w:val="16"/>
        </w:rPr>
        <w:footnoteRef/>
      </w:r>
      <w:r w:rsidRPr="005826CC">
        <w:rPr>
          <w:sz w:val="16"/>
          <w:szCs w:val="16"/>
        </w:rPr>
        <w:t xml:space="preserve"> Electronic Communications Act 2000 Part II Clause 7 states that information delivered by email from a known source is considered electronically signed and admissible in legal proceedings. </w:t>
      </w:r>
    </w:p>
  </w:footnote>
  <w:footnote w:id="3">
    <w:p w14:paraId="73AB4927" w14:textId="0BB4EF37" w:rsidR="00FE4484" w:rsidRPr="005826CC" w:rsidRDefault="00FE4484" w:rsidP="00BA315E">
      <w:pPr>
        <w:pStyle w:val="FootnoteText"/>
        <w:ind w:firstLine="612"/>
        <w:rPr>
          <w:sz w:val="16"/>
          <w:szCs w:val="16"/>
        </w:rPr>
      </w:pPr>
      <w:r w:rsidRPr="005826CC">
        <w:rPr>
          <w:rStyle w:val="FootnoteReference"/>
          <w:sz w:val="16"/>
          <w:szCs w:val="16"/>
        </w:rPr>
        <w:footnoteRef/>
      </w:r>
      <w:r w:rsidRPr="005826CC">
        <w:rPr>
          <w:sz w:val="16"/>
          <w:szCs w:val="16"/>
        </w:rPr>
        <w:t xml:space="preserve"> CA Cyber Protocol</w:t>
      </w:r>
      <w:r w:rsidR="00BA315E">
        <w:rPr>
          <w:sz w:val="16"/>
          <w:szCs w:val="16"/>
        </w:rPr>
        <w:t>.</w:t>
      </w:r>
    </w:p>
  </w:footnote>
  <w:footnote w:id="4">
    <w:p w14:paraId="0D225C8D" w14:textId="2868B159" w:rsidR="00FE4484" w:rsidRPr="005826CC" w:rsidRDefault="00FE4484" w:rsidP="005826CC">
      <w:pPr>
        <w:pStyle w:val="footnotedescription"/>
        <w:ind w:left="622"/>
        <w:rPr>
          <w:sz w:val="16"/>
          <w:szCs w:val="16"/>
        </w:rPr>
      </w:pPr>
      <w:r w:rsidRPr="005826CC">
        <w:rPr>
          <w:rStyle w:val="footnotemark"/>
          <w:sz w:val="16"/>
          <w:szCs w:val="16"/>
        </w:rPr>
        <w:footnoteRef/>
      </w:r>
      <w:r w:rsidRPr="005826CC">
        <w:rPr>
          <w:sz w:val="16"/>
          <w:szCs w:val="16"/>
        </w:rPr>
        <w:t xml:space="preserve"> CQS Protocol: General Obligations </w:t>
      </w:r>
      <w:r>
        <w:rPr>
          <w:sz w:val="16"/>
          <w:szCs w:val="16"/>
        </w:rPr>
        <w:t>and Stage B: Pre-exchange</w:t>
      </w:r>
      <w:r w:rsidR="00BA315E">
        <w:rPr>
          <w:sz w:val="16"/>
          <w:szCs w:val="16"/>
        </w:rPr>
        <w:t>.</w:t>
      </w:r>
      <w:r>
        <w:rPr>
          <w:sz w:val="16"/>
          <w:szCs w:val="16"/>
        </w:rPr>
        <w:t xml:space="preserve"> </w:t>
      </w:r>
    </w:p>
  </w:footnote>
  <w:footnote w:id="5">
    <w:p w14:paraId="0094B3E8" w14:textId="6E87E6E4" w:rsidR="00FE4484" w:rsidRDefault="00FE4484" w:rsidP="00865CFE">
      <w:pPr>
        <w:pStyle w:val="FootnoteText"/>
        <w:ind w:firstLine="612"/>
      </w:pPr>
      <w:r w:rsidRPr="00865CFE">
        <w:rPr>
          <w:rStyle w:val="FootnoteReference"/>
          <w:sz w:val="16"/>
        </w:rPr>
        <w:footnoteRef/>
      </w:r>
      <w:r w:rsidRPr="00865CFE">
        <w:rPr>
          <w:sz w:val="16"/>
        </w:rPr>
        <w:t xml:space="preserve"> CQS Protocol: Stage B: Pre-exchange</w:t>
      </w:r>
      <w:r w:rsidR="00BA315E">
        <w:rPr>
          <w:sz w:val="16"/>
        </w:rPr>
        <w:t>.</w:t>
      </w:r>
    </w:p>
  </w:footnote>
  <w:footnote w:id="6">
    <w:p w14:paraId="109D00AE" w14:textId="28703E91" w:rsidR="00FE4484" w:rsidRPr="00865CFE" w:rsidRDefault="00BA315E">
      <w:pPr>
        <w:pStyle w:val="footnotedescription"/>
        <w:jc w:val="both"/>
        <w:rPr>
          <w:sz w:val="16"/>
          <w:szCs w:val="16"/>
        </w:rPr>
      </w:pPr>
      <w:r>
        <w:rPr>
          <w:sz w:val="16"/>
          <w:szCs w:val="16"/>
        </w:rPr>
        <w:t xml:space="preserve">              </w:t>
      </w:r>
      <w:r w:rsidR="00FE4484" w:rsidRPr="00865CFE">
        <w:rPr>
          <w:rStyle w:val="footnotemark"/>
          <w:sz w:val="16"/>
          <w:szCs w:val="16"/>
        </w:rPr>
        <w:footnoteRef/>
      </w:r>
      <w:r w:rsidR="00FE4484" w:rsidRPr="00865CFE">
        <w:rPr>
          <w:sz w:val="16"/>
          <w:szCs w:val="16"/>
        </w:rPr>
        <w:t xml:space="preserve"> CQS Protocol: Stage A: Instructions</w:t>
      </w:r>
      <w:r>
        <w:rPr>
          <w:sz w:val="16"/>
          <w:szCs w:val="16"/>
        </w:rPr>
        <w:t>.</w:t>
      </w:r>
    </w:p>
  </w:footnote>
  <w:footnote w:id="7">
    <w:p w14:paraId="3664B4BC" w14:textId="3DD05659" w:rsidR="00FE4484" w:rsidRDefault="00FE4484">
      <w:pPr>
        <w:pStyle w:val="FootnoteText"/>
      </w:pPr>
      <w:r w:rsidRPr="00865CFE">
        <w:rPr>
          <w:rStyle w:val="FootnoteReference"/>
          <w:sz w:val="16"/>
          <w:szCs w:val="16"/>
        </w:rPr>
        <w:footnoteRef/>
      </w:r>
      <w:r w:rsidRPr="00865CFE">
        <w:rPr>
          <w:sz w:val="16"/>
          <w:szCs w:val="16"/>
        </w:rPr>
        <w:t xml:space="preserve"> </w:t>
      </w:r>
      <w:hyperlink r:id="rId1" w:history="1">
        <w:r w:rsidRPr="00865CFE">
          <w:rPr>
            <w:rStyle w:val="Hyperlink"/>
            <w:sz w:val="16"/>
            <w:szCs w:val="16"/>
          </w:rPr>
          <w:t>https://www.openbanking.org.uk/providers/</w:t>
        </w:r>
      </w:hyperlink>
    </w:p>
  </w:footnote>
  <w:footnote w:id="8">
    <w:p w14:paraId="722FDA3D" w14:textId="758A0E5F" w:rsidR="00FE4484" w:rsidRPr="00865CFE" w:rsidRDefault="00FE4484">
      <w:pPr>
        <w:pStyle w:val="footnotedescription"/>
        <w:rPr>
          <w:sz w:val="16"/>
          <w:szCs w:val="16"/>
        </w:rPr>
      </w:pPr>
      <w:r w:rsidRPr="00865CFE">
        <w:rPr>
          <w:rStyle w:val="footnotemark"/>
          <w:sz w:val="16"/>
          <w:szCs w:val="16"/>
        </w:rPr>
        <w:footnoteRef/>
      </w:r>
      <w:r w:rsidRPr="00865CFE">
        <w:rPr>
          <w:sz w:val="16"/>
          <w:szCs w:val="16"/>
        </w:rPr>
        <w:t xml:space="preserve"> UK Finance (UKF) Mortgage Lender’s Handbook Part 1: 5.13.1</w:t>
      </w:r>
      <w:r w:rsidR="00BA315E">
        <w:rPr>
          <w:sz w:val="16"/>
          <w:szCs w:val="16"/>
        </w:rPr>
        <w:t>.</w:t>
      </w:r>
    </w:p>
  </w:footnote>
  <w:footnote w:id="9">
    <w:p w14:paraId="5E217299" w14:textId="4C56406E" w:rsidR="00FE4484" w:rsidRPr="00865CFE" w:rsidRDefault="00FE4484">
      <w:pPr>
        <w:pStyle w:val="footnotedescription"/>
        <w:jc w:val="both"/>
        <w:rPr>
          <w:sz w:val="16"/>
          <w:szCs w:val="16"/>
        </w:rPr>
      </w:pPr>
      <w:r w:rsidRPr="00865CFE">
        <w:rPr>
          <w:rStyle w:val="footnotemark"/>
          <w:sz w:val="16"/>
          <w:szCs w:val="16"/>
        </w:rPr>
        <w:footnoteRef/>
      </w:r>
      <w:r w:rsidRPr="00865CFE">
        <w:rPr>
          <w:sz w:val="16"/>
          <w:szCs w:val="16"/>
        </w:rPr>
        <w:t xml:space="preserve"> CQS Protocol: Stage B: Pre-exchange</w:t>
      </w:r>
      <w:r w:rsidR="00BA315E">
        <w:rPr>
          <w:sz w:val="16"/>
          <w:szCs w:val="16"/>
        </w:rPr>
        <w:t>.</w:t>
      </w:r>
    </w:p>
  </w:footnote>
  <w:footnote w:id="10">
    <w:p w14:paraId="10BD4430" w14:textId="2F1B8C1C" w:rsidR="00FE4484" w:rsidRDefault="00FE4484">
      <w:pPr>
        <w:pStyle w:val="FootnoteText"/>
      </w:pPr>
      <w:r w:rsidRPr="00865CFE">
        <w:rPr>
          <w:rStyle w:val="FootnoteReference"/>
          <w:sz w:val="16"/>
          <w:szCs w:val="16"/>
        </w:rPr>
        <w:footnoteRef/>
      </w:r>
      <w:r w:rsidRPr="00865CFE">
        <w:rPr>
          <w:sz w:val="16"/>
          <w:szCs w:val="16"/>
        </w:rPr>
        <w:t xml:space="preserve"> </w:t>
      </w:r>
      <w:hyperlink r:id="rId2" w:history="1">
        <w:r w:rsidRPr="00865CFE">
          <w:rPr>
            <w:rStyle w:val="Hyperlink"/>
            <w:sz w:val="16"/>
            <w:szCs w:val="16"/>
          </w:rPr>
          <w:t>https://www.propertymark.co.uk/media/1043356/ntseat-guidance-on-property-sales.pdf</w:t>
        </w:r>
      </w:hyperlink>
    </w:p>
  </w:footnote>
  <w:footnote w:id="11">
    <w:p w14:paraId="29C8BE57" w14:textId="1D8354CC" w:rsidR="00FE4484" w:rsidRDefault="00FE4484" w:rsidP="00122A9E">
      <w:pPr>
        <w:pStyle w:val="footnotedescription"/>
        <w:tabs>
          <w:tab w:val="left" w:pos="524"/>
        </w:tabs>
      </w:pPr>
    </w:p>
  </w:footnote>
  <w:footnote w:id="12">
    <w:p w14:paraId="0388F079" w14:textId="310C257B" w:rsidR="004260EF" w:rsidRPr="00122A9E" w:rsidRDefault="004260EF">
      <w:pPr>
        <w:pStyle w:val="FootnoteText"/>
        <w:rPr>
          <w:sz w:val="16"/>
          <w:szCs w:val="16"/>
        </w:rPr>
      </w:pPr>
      <w:r w:rsidRPr="00BA315E">
        <w:rPr>
          <w:rStyle w:val="FootnoteReference"/>
          <w:sz w:val="16"/>
          <w:szCs w:val="16"/>
        </w:rPr>
        <w:footnoteRef/>
      </w:r>
      <w:r>
        <w:t xml:space="preserve"> </w:t>
      </w:r>
      <w:r w:rsidRPr="00122A9E">
        <w:rPr>
          <w:sz w:val="16"/>
          <w:szCs w:val="16"/>
        </w:rPr>
        <w:t>SPS Groundworks</w:t>
      </w:r>
      <w:r w:rsidR="00AC1D0E">
        <w:rPr>
          <w:sz w:val="16"/>
          <w:szCs w:val="16"/>
        </w:rPr>
        <w:t xml:space="preserve"> &amp;</w:t>
      </w:r>
      <w:r w:rsidRPr="00122A9E">
        <w:rPr>
          <w:sz w:val="16"/>
          <w:szCs w:val="16"/>
        </w:rPr>
        <w:t xml:space="preserve"> </w:t>
      </w:r>
      <w:r w:rsidR="00AC1D0E">
        <w:rPr>
          <w:sz w:val="16"/>
          <w:szCs w:val="16"/>
        </w:rPr>
        <w:t xml:space="preserve">Building </w:t>
      </w:r>
      <w:r w:rsidRPr="00122A9E">
        <w:rPr>
          <w:sz w:val="16"/>
          <w:szCs w:val="16"/>
        </w:rPr>
        <w:t>Ltd</w:t>
      </w:r>
      <w:r>
        <w:rPr>
          <w:sz w:val="16"/>
          <w:szCs w:val="16"/>
        </w:rPr>
        <w:t xml:space="preserve"> -v- Mahil</w:t>
      </w:r>
      <w:r w:rsidR="00AC1D0E">
        <w:rPr>
          <w:sz w:val="16"/>
          <w:szCs w:val="16"/>
        </w:rPr>
        <w:t xml:space="preserve"> [2022]</w:t>
      </w:r>
      <w:r w:rsidR="00BA315E">
        <w:rPr>
          <w:sz w:val="16"/>
          <w:szCs w:val="16"/>
        </w:rPr>
        <w:t>.</w:t>
      </w:r>
    </w:p>
  </w:footnote>
  <w:footnote w:id="13">
    <w:p w14:paraId="38AEACBA" w14:textId="3A069D33" w:rsidR="00FE4484" w:rsidRPr="00865CFE" w:rsidRDefault="00FE4484">
      <w:pPr>
        <w:pStyle w:val="footnotedescription"/>
        <w:rPr>
          <w:sz w:val="16"/>
          <w:szCs w:val="16"/>
        </w:rPr>
      </w:pPr>
      <w:r w:rsidRPr="00865CFE">
        <w:rPr>
          <w:rStyle w:val="footnotemark"/>
          <w:sz w:val="16"/>
          <w:szCs w:val="16"/>
        </w:rPr>
        <w:footnoteRef/>
      </w:r>
      <w:r w:rsidRPr="00865CFE">
        <w:rPr>
          <w:sz w:val="16"/>
          <w:szCs w:val="16"/>
        </w:rPr>
        <w:t xml:space="preserve"> CQS Protocol: Stage B: Pre-Exchange</w:t>
      </w:r>
      <w:r w:rsidR="00BA315E">
        <w:rPr>
          <w:sz w:val="16"/>
          <w:szCs w:val="16"/>
        </w:rPr>
        <w:t>.</w:t>
      </w:r>
    </w:p>
  </w:footnote>
  <w:footnote w:id="14">
    <w:p w14:paraId="20252F1E" w14:textId="2AC98C3D" w:rsidR="00FE4484" w:rsidRPr="00865CFE" w:rsidRDefault="00FE4484">
      <w:pPr>
        <w:pStyle w:val="footnotedescription"/>
        <w:spacing w:after="18"/>
        <w:rPr>
          <w:sz w:val="16"/>
          <w:szCs w:val="16"/>
        </w:rPr>
      </w:pPr>
      <w:r w:rsidRPr="00865CFE">
        <w:rPr>
          <w:rStyle w:val="footnotemark"/>
          <w:sz w:val="16"/>
          <w:szCs w:val="16"/>
        </w:rPr>
        <w:footnoteRef/>
      </w:r>
      <w:r w:rsidRPr="00865CFE">
        <w:rPr>
          <w:sz w:val="16"/>
          <w:szCs w:val="16"/>
        </w:rPr>
        <w:t xml:space="preserve"> CQS Protocol: Stage B: Pre-Exchange</w:t>
      </w:r>
      <w:r w:rsidR="00BA315E">
        <w:rPr>
          <w:sz w:val="16"/>
          <w:szCs w:val="16"/>
        </w:rPr>
        <w:t>.</w:t>
      </w:r>
      <w:r w:rsidRPr="00865CFE">
        <w:rPr>
          <w:sz w:val="16"/>
          <w:szCs w:val="16"/>
        </w:rPr>
        <w:t xml:space="preserve">  </w:t>
      </w:r>
    </w:p>
  </w:footnote>
  <w:footnote w:id="15">
    <w:p w14:paraId="4D8D59AE" w14:textId="6EB8AD9D" w:rsidR="00FE4484" w:rsidRPr="00865CFE" w:rsidRDefault="00FE4484">
      <w:pPr>
        <w:pStyle w:val="footnotedescription"/>
        <w:spacing w:line="231" w:lineRule="auto"/>
        <w:rPr>
          <w:sz w:val="16"/>
          <w:szCs w:val="16"/>
        </w:rPr>
      </w:pPr>
      <w:r w:rsidRPr="00865CFE">
        <w:rPr>
          <w:rStyle w:val="footnotemark"/>
          <w:sz w:val="16"/>
          <w:szCs w:val="16"/>
        </w:rPr>
        <w:footnoteRef/>
      </w:r>
      <w:r w:rsidRPr="00865CFE">
        <w:rPr>
          <w:sz w:val="16"/>
          <w:szCs w:val="16"/>
        </w:rPr>
        <w:t xml:space="preserve"> The Land Registry’s </w:t>
      </w:r>
      <w:proofErr w:type="spellStart"/>
      <w:r w:rsidRPr="00865CFE">
        <w:rPr>
          <w:sz w:val="16"/>
          <w:szCs w:val="16"/>
        </w:rPr>
        <w:t>eDRS</w:t>
      </w:r>
      <w:proofErr w:type="spellEnd"/>
      <w:r w:rsidRPr="00865CFE">
        <w:rPr>
          <w:sz w:val="16"/>
          <w:szCs w:val="16"/>
        </w:rPr>
        <w:t xml:space="preserve"> acceptance of scanned copies of the documents mean that the Seller’s Lawyer can email the scanned copy of the dated document to the Buyer</w:t>
      </w:r>
      <w:r w:rsidR="00BA315E">
        <w:rPr>
          <w:sz w:val="16"/>
          <w:szCs w:val="16"/>
        </w:rPr>
        <w:t>’</w:t>
      </w:r>
      <w:r w:rsidRPr="00865CFE">
        <w:rPr>
          <w:sz w:val="16"/>
          <w:szCs w:val="16"/>
        </w:rPr>
        <w:t>s conveyancer with their undertaking that it is a true copy of the original.</w:t>
      </w:r>
      <w:r w:rsidRPr="00865CFE">
        <w:rPr>
          <w:rFonts w:ascii="Calibri" w:eastAsia="Calibri" w:hAnsi="Calibri" w:cs="Calibri"/>
          <w:sz w:val="16"/>
          <w:szCs w:val="16"/>
        </w:rPr>
        <w:t xml:space="preserve"> </w:t>
      </w:r>
    </w:p>
  </w:footnote>
  <w:footnote w:id="16">
    <w:p w14:paraId="27D78F13" w14:textId="63B2ED15" w:rsidR="00FE4484" w:rsidRPr="00865CFE" w:rsidRDefault="00FE4484">
      <w:pPr>
        <w:pStyle w:val="footnotedescription"/>
        <w:rPr>
          <w:sz w:val="16"/>
          <w:szCs w:val="16"/>
        </w:rPr>
      </w:pPr>
      <w:r w:rsidRPr="00865CFE">
        <w:rPr>
          <w:rStyle w:val="footnotemark"/>
          <w:sz w:val="16"/>
          <w:szCs w:val="16"/>
        </w:rPr>
        <w:footnoteRef/>
      </w:r>
      <w:r w:rsidRPr="00865CFE">
        <w:rPr>
          <w:sz w:val="16"/>
          <w:szCs w:val="16"/>
        </w:rPr>
        <w:t xml:space="preserve"> CQS Protocol: Stage B: Pre-Exchange</w:t>
      </w:r>
      <w:r w:rsidR="002B05FF">
        <w:rPr>
          <w:sz w:val="16"/>
          <w:szCs w:val="16"/>
        </w:rPr>
        <w:t>.</w:t>
      </w:r>
      <w:r w:rsidRPr="00865CFE">
        <w:rPr>
          <w:sz w:val="16"/>
          <w:szCs w:val="16"/>
        </w:rPr>
        <w:t xml:space="preserve"> </w:t>
      </w:r>
    </w:p>
  </w:footnote>
  <w:footnote w:id="17">
    <w:p w14:paraId="349939CE" w14:textId="4991FD1F" w:rsidR="00FE4484" w:rsidRDefault="00FE4484">
      <w:pPr>
        <w:pStyle w:val="FootnoteText"/>
      </w:pPr>
      <w:r w:rsidRPr="00865CFE">
        <w:rPr>
          <w:rStyle w:val="FootnoteReference"/>
          <w:sz w:val="16"/>
          <w:szCs w:val="16"/>
        </w:rPr>
        <w:footnoteRef/>
      </w:r>
      <w:r w:rsidRPr="00865CFE">
        <w:rPr>
          <w:sz w:val="16"/>
          <w:szCs w:val="16"/>
        </w:rPr>
        <w:t xml:space="preserve"> CQS: Stage B: Pre-exchange</w:t>
      </w:r>
      <w:r w:rsidR="002B05FF">
        <w:rPr>
          <w:sz w:val="16"/>
          <w:szCs w:val="16"/>
        </w:rPr>
        <w:t>.</w:t>
      </w:r>
    </w:p>
  </w:footnote>
  <w:footnote w:id="18">
    <w:p w14:paraId="13988287" w14:textId="00A8682E" w:rsidR="00FE4484" w:rsidRPr="00865CFE" w:rsidRDefault="00FE4484">
      <w:pPr>
        <w:pStyle w:val="footnotedescription"/>
        <w:rPr>
          <w:sz w:val="16"/>
          <w:szCs w:val="16"/>
        </w:rPr>
      </w:pPr>
      <w:r>
        <w:rPr>
          <w:rStyle w:val="footnotemark"/>
        </w:rPr>
        <w:footnoteRef/>
      </w:r>
      <w:r>
        <w:t xml:space="preserve"> </w:t>
      </w:r>
      <w:r w:rsidRPr="00865CFE">
        <w:rPr>
          <w:sz w:val="16"/>
          <w:szCs w:val="16"/>
        </w:rPr>
        <w:t>UKF Handbook s.5.5.4</w:t>
      </w:r>
      <w:r w:rsidR="002B05FF">
        <w:rPr>
          <w:sz w:val="16"/>
          <w:szCs w:val="16"/>
        </w:rPr>
        <w:t>.</w:t>
      </w:r>
      <w:r w:rsidRPr="00865CFE">
        <w:rPr>
          <w:sz w:val="16"/>
          <w:szCs w:val="16"/>
        </w:rPr>
        <w:t xml:space="preserve"> </w:t>
      </w:r>
    </w:p>
  </w:footnote>
  <w:footnote w:id="19">
    <w:p w14:paraId="5CD4387A" w14:textId="3E18B475" w:rsidR="00FE4484" w:rsidRPr="00865CFE" w:rsidRDefault="00FE4484">
      <w:pPr>
        <w:pStyle w:val="footnotedescription"/>
        <w:spacing w:line="251" w:lineRule="auto"/>
        <w:rPr>
          <w:sz w:val="16"/>
          <w:szCs w:val="16"/>
        </w:rPr>
      </w:pPr>
      <w:r w:rsidRPr="00865CFE">
        <w:rPr>
          <w:rStyle w:val="footnotemark"/>
          <w:sz w:val="16"/>
          <w:szCs w:val="16"/>
        </w:rPr>
        <w:footnoteRef/>
      </w:r>
      <w:r w:rsidRPr="00865CFE">
        <w:rPr>
          <w:sz w:val="16"/>
          <w:szCs w:val="16"/>
        </w:rPr>
        <w:t xml:space="preserve"> Legal Ombudsman: recommendations on advising the client. </w:t>
      </w:r>
    </w:p>
  </w:footnote>
  <w:footnote w:id="20">
    <w:p w14:paraId="4E9B048E" w14:textId="11918239" w:rsidR="00FE4484" w:rsidRDefault="00FE4484">
      <w:pPr>
        <w:pStyle w:val="FootnoteText"/>
      </w:pPr>
      <w:r w:rsidRPr="00865CFE">
        <w:rPr>
          <w:rStyle w:val="FootnoteReference"/>
          <w:sz w:val="16"/>
          <w:szCs w:val="16"/>
        </w:rPr>
        <w:footnoteRef/>
      </w:r>
      <w:r w:rsidRPr="00865CFE">
        <w:rPr>
          <w:sz w:val="16"/>
          <w:szCs w:val="16"/>
        </w:rPr>
        <w:t xml:space="preserve"> </w:t>
      </w:r>
      <w:hyperlink r:id="rId3" w:history="1">
        <w:r w:rsidRPr="00865CFE">
          <w:rPr>
            <w:rStyle w:val="Hyperlink"/>
            <w:sz w:val="16"/>
            <w:szCs w:val="16"/>
          </w:rPr>
          <w:t>https://www.lawsociety.org.uk/news/stories/government-responds-to-leasehold-reform-consultation/</w:t>
        </w:r>
      </w:hyperlink>
    </w:p>
  </w:footnote>
  <w:footnote w:id="21">
    <w:p w14:paraId="54878C71" w14:textId="640F2B7F" w:rsidR="00FE4484" w:rsidRPr="00BD38FB" w:rsidRDefault="00FE4484">
      <w:pPr>
        <w:pStyle w:val="footnotedescription"/>
        <w:spacing w:after="1"/>
        <w:rPr>
          <w:sz w:val="16"/>
          <w:szCs w:val="16"/>
        </w:rPr>
      </w:pPr>
      <w:r w:rsidRPr="00BD38FB">
        <w:rPr>
          <w:rStyle w:val="footnotemark"/>
          <w:sz w:val="16"/>
          <w:szCs w:val="16"/>
        </w:rPr>
        <w:footnoteRef/>
      </w:r>
      <w:r w:rsidRPr="00BD38FB">
        <w:rPr>
          <w:sz w:val="16"/>
          <w:szCs w:val="16"/>
        </w:rPr>
        <w:t xml:space="preserve"> UKF Handbook s.5.5.1</w:t>
      </w:r>
      <w:r w:rsidR="002B05FF" w:rsidRPr="00BD38FB">
        <w:rPr>
          <w:sz w:val="16"/>
          <w:szCs w:val="16"/>
        </w:rPr>
        <w:t>.</w:t>
      </w:r>
      <w:r w:rsidRPr="00BD38FB">
        <w:rPr>
          <w:sz w:val="16"/>
          <w:szCs w:val="16"/>
        </w:rPr>
        <w:t xml:space="preserve"> </w:t>
      </w:r>
    </w:p>
  </w:footnote>
  <w:footnote w:id="22">
    <w:p w14:paraId="6F23A902" w14:textId="3504846C" w:rsidR="00FE4484" w:rsidRPr="00BD38FB" w:rsidRDefault="00FE4484">
      <w:pPr>
        <w:pStyle w:val="footnotedescription"/>
        <w:rPr>
          <w:sz w:val="16"/>
          <w:szCs w:val="16"/>
        </w:rPr>
      </w:pPr>
      <w:r w:rsidRPr="00BD38FB">
        <w:rPr>
          <w:rStyle w:val="footnotemark"/>
          <w:sz w:val="16"/>
          <w:szCs w:val="16"/>
        </w:rPr>
        <w:footnoteRef/>
      </w:r>
      <w:r w:rsidRPr="00BD38FB">
        <w:rPr>
          <w:sz w:val="16"/>
          <w:szCs w:val="16"/>
        </w:rPr>
        <w:t xml:space="preserve"> Ss124-7 Localism Act 2011</w:t>
      </w:r>
      <w:r w:rsidR="002B05FF" w:rsidRPr="00BD38FB">
        <w:rPr>
          <w:sz w:val="16"/>
          <w:szCs w:val="16"/>
        </w:rPr>
        <w:t>.</w:t>
      </w:r>
      <w:r w:rsidRPr="00BD38FB">
        <w:rPr>
          <w:rFonts w:ascii="Calibri" w:eastAsia="Calibri" w:hAnsi="Calibri" w:cs="Calibri"/>
          <w:sz w:val="16"/>
          <w:szCs w:val="16"/>
        </w:rPr>
        <w:t xml:space="preserve"> </w:t>
      </w:r>
    </w:p>
  </w:footnote>
  <w:footnote w:id="23">
    <w:p w14:paraId="4617A963" w14:textId="3D0582AD" w:rsidR="00FE4484" w:rsidRPr="00BD38FB" w:rsidRDefault="00FE4484">
      <w:pPr>
        <w:pStyle w:val="footnotedescription"/>
        <w:spacing w:line="249" w:lineRule="auto"/>
        <w:rPr>
          <w:sz w:val="16"/>
          <w:szCs w:val="16"/>
        </w:rPr>
      </w:pPr>
      <w:r w:rsidRPr="00BD38FB">
        <w:rPr>
          <w:rStyle w:val="footnotemark"/>
          <w:sz w:val="16"/>
          <w:szCs w:val="16"/>
        </w:rPr>
        <w:footnoteRef/>
      </w:r>
      <w:r w:rsidRPr="00BD38FB">
        <w:rPr>
          <w:sz w:val="16"/>
          <w:szCs w:val="16"/>
        </w:rPr>
        <w:t xml:space="preserve"> </w:t>
      </w:r>
      <w:r w:rsidR="00505322" w:rsidRPr="00BD38FB">
        <w:rPr>
          <w:sz w:val="16"/>
          <w:szCs w:val="16"/>
        </w:rPr>
        <w:t xml:space="preserve">Ss115 Levelling-Up and Regeneration </w:t>
      </w:r>
      <w:r w:rsidRPr="00BD38FB">
        <w:rPr>
          <w:sz w:val="16"/>
          <w:szCs w:val="16"/>
        </w:rPr>
        <w:t xml:space="preserve">Act </w:t>
      </w:r>
      <w:r w:rsidR="00505322" w:rsidRPr="00BD38FB">
        <w:rPr>
          <w:sz w:val="16"/>
          <w:szCs w:val="16"/>
        </w:rPr>
        <w:t xml:space="preserve">2023 </w:t>
      </w:r>
      <w:r w:rsidRPr="00BD38FB">
        <w:rPr>
          <w:sz w:val="16"/>
          <w:szCs w:val="16"/>
        </w:rPr>
        <w:t xml:space="preserve">states that </w:t>
      </w:r>
      <w:r w:rsidR="00505322" w:rsidRPr="00BD38FB">
        <w:rPr>
          <w:sz w:val="16"/>
          <w:szCs w:val="16"/>
        </w:rPr>
        <w:t xml:space="preserve">building </w:t>
      </w:r>
      <w:r w:rsidRPr="00BD38FB">
        <w:rPr>
          <w:sz w:val="16"/>
          <w:szCs w:val="16"/>
        </w:rPr>
        <w:t xml:space="preserve">work </w:t>
      </w:r>
      <w:r w:rsidR="00505322" w:rsidRPr="00BD38FB">
        <w:rPr>
          <w:sz w:val="16"/>
          <w:szCs w:val="16"/>
        </w:rPr>
        <w:t xml:space="preserve">or change of use </w:t>
      </w:r>
      <w:r w:rsidRPr="00BD38FB">
        <w:rPr>
          <w:sz w:val="16"/>
          <w:szCs w:val="16"/>
        </w:rPr>
        <w:t xml:space="preserve">completed over </w:t>
      </w:r>
      <w:r w:rsidR="00505322" w:rsidRPr="00BD38FB">
        <w:rPr>
          <w:sz w:val="16"/>
          <w:szCs w:val="16"/>
        </w:rPr>
        <w:t xml:space="preserve">10 years ago in England, and </w:t>
      </w:r>
      <w:r w:rsidR="002B05FF" w:rsidRPr="00BD38FB">
        <w:rPr>
          <w:sz w:val="16"/>
          <w:szCs w:val="16"/>
        </w:rPr>
        <w:t>four</w:t>
      </w:r>
      <w:r w:rsidR="00505322" w:rsidRPr="00BD38FB">
        <w:rPr>
          <w:sz w:val="16"/>
          <w:szCs w:val="16"/>
        </w:rPr>
        <w:t xml:space="preserve"> years ago in </w:t>
      </w:r>
      <w:r w:rsidR="00F21D63" w:rsidRPr="00BD38FB">
        <w:rPr>
          <w:sz w:val="16"/>
          <w:szCs w:val="16"/>
        </w:rPr>
        <w:t>Wales NB</w:t>
      </w:r>
      <w:r w:rsidRPr="00BD38FB">
        <w:rPr>
          <w:sz w:val="16"/>
          <w:szCs w:val="16"/>
        </w:rPr>
        <w:t xml:space="preserve"> you should ask the seller to confirm that the work was not concealed as in the case of Welwyn Hatfield Council v. SSCLG [2010] EWCA </w:t>
      </w:r>
      <w:proofErr w:type="spellStart"/>
      <w:r w:rsidRPr="00BD38FB">
        <w:rPr>
          <w:sz w:val="16"/>
          <w:szCs w:val="16"/>
        </w:rPr>
        <w:t>Civ</w:t>
      </w:r>
      <w:proofErr w:type="spellEnd"/>
      <w:r w:rsidRPr="00BD38FB">
        <w:rPr>
          <w:sz w:val="16"/>
          <w:szCs w:val="16"/>
        </w:rPr>
        <w:t xml:space="preserve"> 26 &amp; </w:t>
      </w:r>
      <w:r w:rsidRPr="00BD38FB">
        <w:rPr>
          <w:i/>
          <w:sz w:val="16"/>
          <w:szCs w:val="16"/>
        </w:rPr>
        <w:t>R. (Fidler) v. SSCLG</w:t>
      </w:r>
      <w:r w:rsidRPr="00BD38FB">
        <w:rPr>
          <w:sz w:val="16"/>
          <w:szCs w:val="16"/>
        </w:rPr>
        <w:t xml:space="preserve"> - [2011] EWCA </w:t>
      </w:r>
      <w:proofErr w:type="spellStart"/>
      <w:r w:rsidRPr="00BD38FB">
        <w:rPr>
          <w:sz w:val="16"/>
          <w:szCs w:val="16"/>
        </w:rPr>
        <w:t>Civ</w:t>
      </w:r>
      <w:proofErr w:type="spellEnd"/>
      <w:r w:rsidRPr="00BD38FB">
        <w:rPr>
          <w:sz w:val="16"/>
          <w:szCs w:val="16"/>
        </w:rPr>
        <w:t xml:space="preserve"> 1159</w:t>
      </w:r>
      <w:r w:rsidR="002B05FF" w:rsidRPr="00BD38FB">
        <w:rPr>
          <w:sz w:val="16"/>
          <w:szCs w:val="16"/>
        </w:rPr>
        <w:t>.</w:t>
      </w:r>
      <w:r w:rsidRPr="00BD38FB">
        <w:rPr>
          <w:sz w:val="16"/>
          <w:szCs w:val="16"/>
        </w:rPr>
        <w:t xml:space="preserve"> </w:t>
      </w:r>
    </w:p>
  </w:footnote>
  <w:footnote w:id="24">
    <w:p w14:paraId="14CA17F4" w14:textId="54CFB901" w:rsidR="00FE4484" w:rsidRPr="00BD38FB" w:rsidRDefault="00FE4484">
      <w:pPr>
        <w:pStyle w:val="footnotedescription"/>
        <w:spacing w:line="267" w:lineRule="auto"/>
        <w:rPr>
          <w:sz w:val="16"/>
          <w:szCs w:val="16"/>
        </w:rPr>
      </w:pPr>
      <w:r w:rsidRPr="00BD38FB">
        <w:rPr>
          <w:rStyle w:val="footnotemark"/>
          <w:sz w:val="16"/>
          <w:szCs w:val="16"/>
        </w:rPr>
        <w:footnoteRef/>
      </w:r>
      <w:r w:rsidRPr="00BD38FB">
        <w:rPr>
          <w:sz w:val="16"/>
          <w:szCs w:val="16"/>
        </w:rPr>
        <w:t xml:space="preserve"> Specialist indemnity insurance would be required for works completed less than 12 months ago due to the increased chance of enforcement actions by the Local Authority. </w:t>
      </w:r>
    </w:p>
  </w:footnote>
  <w:footnote w:id="25">
    <w:p w14:paraId="347CB309" w14:textId="3727790B" w:rsidR="00FE4484" w:rsidRPr="00BD38FB" w:rsidRDefault="00FE4484" w:rsidP="00476ACC">
      <w:pPr>
        <w:pStyle w:val="footnotedescription"/>
        <w:spacing w:line="253" w:lineRule="auto"/>
        <w:rPr>
          <w:sz w:val="16"/>
          <w:szCs w:val="16"/>
        </w:rPr>
      </w:pPr>
      <w:r w:rsidRPr="00BD38FB">
        <w:rPr>
          <w:rStyle w:val="footnotemark"/>
          <w:sz w:val="16"/>
          <w:szCs w:val="16"/>
        </w:rPr>
        <w:footnoteRef/>
      </w:r>
      <w:r w:rsidRPr="00BD38FB">
        <w:rPr>
          <w:sz w:val="16"/>
          <w:szCs w:val="16"/>
        </w:rPr>
        <w:t xml:space="preserve"> Planning Permission granted without conditions, so long as its Subject Title is sufficient to identify the alteration it relates to, will reveal nothing further of use. Lack of sufficient description should be resolved by a call for confirmation to the Local Authority. </w:t>
      </w:r>
    </w:p>
  </w:footnote>
  <w:footnote w:id="26">
    <w:p w14:paraId="4ED18286" w14:textId="28013C1D" w:rsidR="00FE4484" w:rsidRPr="00BD38FB" w:rsidRDefault="00FE4484" w:rsidP="009369D5">
      <w:pPr>
        <w:pStyle w:val="footnotedescription"/>
        <w:spacing w:after="4"/>
        <w:rPr>
          <w:sz w:val="16"/>
          <w:szCs w:val="16"/>
        </w:rPr>
      </w:pPr>
      <w:r w:rsidRPr="00BD38FB">
        <w:rPr>
          <w:rStyle w:val="footnotemark"/>
          <w:sz w:val="16"/>
          <w:szCs w:val="16"/>
        </w:rPr>
        <w:footnoteRef/>
      </w:r>
      <w:r w:rsidRPr="00BD38FB">
        <w:rPr>
          <w:sz w:val="16"/>
          <w:szCs w:val="16"/>
        </w:rPr>
        <w:t xml:space="preserve"> The Buildings Act 1984 was the first time the Authority was required to keep records of Buildings Regulations, there would be nothing in the public interest to support an application for an injunction under s.36(6) of the Buildings Act 1984</w:t>
      </w:r>
      <w:r w:rsidR="009369D5" w:rsidRPr="00BD38FB">
        <w:rPr>
          <w:sz w:val="16"/>
          <w:szCs w:val="16"/>
        </w:rPr>
        <w:t>.</w:t>
      </w:r>
      <w:r w:rsidRPr="00BD38FB">
        <w:rPr>
          <w:sz w:val="16"/>
          <w:szCs w:val="16"/>
        </w:rPr>
        <w:t xml:space="preserve"> However, the structural integrity of the alteration should be verified in all cases. Cottingham –v- </w:t>
      </w:r>
      <w:proofErr w:type="spellStart"/>
      <w:r w:rsidRPr="00BD38FB">
        <w:rPr>
          <w:sz w:val="16"/>
          <w:szCs w:val="16"/>
        </w:rPr>
        <w:t>Attey</w:t>
      </w:r>
      <w:proofErr w:type="spellEnd"/>
      <w:r w:rsidRPr="00BD38FB">
        <w:rPr>
          <w:sz w:val="16"/>
          <w:szCs w:val="16"/>
        </w:rPr>
        <w:t xml:space="preserve"> Bower Jones 2000</w:t>
      </w:r>
      <w:r w:rsidR="009369D5" w:rsidRPr="00BD38FB">
        <w:rPr>
          <w:rFonts w:ascii="Calibri" w:eastAsia="Calibri" w:hAnsi="Calibri" w:cs="Calibri"/>
          <w:sz w:val="16"/>
          <w:szCs w:val="16"/>
        </w:rPr>
        <w:t>.</w:t>
      </w:r>
    </w:p>
  </w:footnote>
  <w:footnote w:id="27">
    <w:p w14:paraId="5689399A" w14:textId="252B4B3D" w:rsidR="00FE4484" w:rsidRPr="00BD38FB" w:rsidRDefault="00FE4484">
      <w:pPr>
        <w:pStyle w:val="footnotedescription"/>
        <w:rPr>
          <w:sz w:val="16"/>
          <w:szCs w:val="16"/>
        </w:rPr>
      </w:pPr>
      <w:r w:rsidRPr="00BD38FB">
        <w:rPr>
          <w:rStyle w:val="footnotemark"/>
          <w:sz w:val="16"/>
          <w:szCs w:val="16"/>
        </w:rPr>
        <w:footnoteRef/>
      </w:r>
      <w:r w:rsidRPr="00BD38FB">
        <w:rPr>
          <w:sz w:val="16"/>
          <w:szCs w:val="16"/>
        </w:rPr>
        <w:t xml:space="preserve"> UKF Handbook 5.5.1</w:t>
      </w:r>
      <w:r w:rsidR="009369D5" w:rsidRPr="00BD38FB">
        <w:rPr>
          <w:sz w:val="16"/>
          <w:szCs w:val="16"/>
        </w:rPr>
        <w:t>: ‘</w:t>
      </w:r>
      <w:r w:rsidRPr="00BD38FB">
        <w:rPr>
          <w:sz w:val="16"/>
          <w:szCs w:val="16"/>
        </w:rPr>
        <w:t xml:space="preserve">If there is evidence of such a breach or matter but in your professional judgment there is no reasonable prospect of enforcement action and, following reasonable enquiries, you are satisfied the </w:t>
      </w:r>
      <w:r w:rsidR="009369D5" w:rsidRPr="00BD38FB">
        <w:rPr>
          <w:sz w:val="16"/>
          <w:szCs w:val="16"/>
        </w:rPr>
        <w:t>T</w:t>
      </w:r>
      <w:r w:rsidRPr="00BD38FB">
        <w:rPr>
          <w:sz w:val="16"/>
          <w:szCs w:val="16"/>
        </w:rPr>
        <w:t>itle is good and marketable</w:t>
      </w:r>
      <w:r w:rsidR="009369D5" w:rsidRPr="00BD38FB">
        <w:rPr>
          <w:sz w:val="16"/>
          <w:szCs w:val="16"/>
        </w:rPr>
        <w:t>,</w:t>
      </w:r>
      <w:r w:rsidRPr="00BD38FB">
        <w:rPr>
          <w:sz w:val="16"/>
          <w:szCs w:val="16"/>
        </w:rPr>
        <w:t xml:space="preserve"> and you can provide an unqualified certificate of </w:t>
      </w:r>
      <w:r w:rsidR="009369D5" w:rsidRPr="00BD38FB">
        <w:rPr>
          <w:sz w:val="16"/>
          <w:szCs w:val="16"/>
        </w:rPr>
        <w:t>T</w:t>
      </w:r>
      <w:r w:rsidRPr="00BD38FB">
        <w:rPr>
          <w:sz w:val="16"/>
          <w:szCs w:val="16"/>
        </w:rPr>
        <w:t xml:space="preserve">itle, we will not insist on indemnity </w:t>
      </w:r>
      <w:r w:rsidR="00F21D63" w:rsidRPr="00BD38FB">
        <w:rPr>
          <w:sz w:val="16"/>
          <w:szCs w:val="16"/>
        </w:rPr>
        <w:t>insurance,</w:t>
      </w:r>
      <w:r w:rsidRPr="00BD38FB">
        <w:rPr>
          <w:sz w:val="16"/>
          <w:szCs w:val="16"/>
        </w:rPr>
        <w:t xml:space="preserve"> and you may proceed.</w:t>
      </w:r>
      <w:r w:rsidR="009369D5" w:rsidRPr="00BD38FB">
        <w:rPr>
          <w:sz w:val="16"/>
          <w:szCs w:val="16"/>
        </w:rPr>
        <w:t>’</w:t>
      </w:r>
      <w:r w:rsidRPr="00BD38FB">
        <w:rPr>
          <w:sz w:val="16"/>
          <w:szCs w:val="16"/>
        </w:rPr>
        <w:t xml:space="preserve"> </w:t>
      </w:r>
    </w:p>
  </w:footnote>
  <w:footnote w:id="28">
    <w:p w14:paraId="3A003CB5" w14:textId="2F5D4D2A" w:rsidR="00FE4484" w:rsidRPr="00BD38FB" w:rsidRDefault="00FE4484" w:rsidP="00B92C1D">
      <w:pPr>
        <w:pStyle w:val="footnotedescription"/>
        <w:rPr>
          <w:sz w:val="16"/>
          <w:szCs w:val="16"/>
          <w:lang w:eastAsia="en-US"/>
        </w:rPr>
      </w:pPr>
      <w:r w:rsidRPr="00BD38FB">
        <w:rPr>
          <w:rStyle w:val="footnotemark"/>
          <w:sz w:val="16"/>
          <w:szCs w:val="16"/>
        </w:rPr>
        <w:footnoteRef/>
      </w:r>
      <w:r w:rsidRPr="00BD38FB">
        <w:rPr>
          <w:sz w:val="16"/>
          <w:szCs w:val="16"/>
        </w:rPr>
        <w:t xml:space="preserve"> UKF Handbook 5.5.1: </w:t>
      </w:r>
      <w:r w:rsidR="009369D5" w:rsidRPr="00BD38FB">
        <w:rPr>
          <w:sz w:val="16"/>
          <w:szCs w:val="16"/>
        </w:rPr>
        <w:t>‘</w:t>
      </w:r>
      <w:r w:rsidRPr="00BD38FB">
        <w:rPr>
          <w:sz w:val="16"/>
          <w:szCs w:val="16"/>
        </w:rPr>
        <w:t xml:space="preserve">If there is evidence of such a breach or matter but in your professional judgment there is no reasonable prospect of enforcement action and, following reasonable enquiries, you are satisfied that the </w:t>
      </w:r>
      <w:r w:rsidR="009369D5" w:rsidRPr="00BD38FB">
        <w:rPr>
          <w:sz w:val="16"/>
          <w:szCs w:val="16"/>
        </w:rPr>
        <w:t>T</w:t>
      </w:r>
      <w:r w:rsidRPr="00BD38FB">
        <w:rPr>
          <w:sz w:val="16"/>
          <w:szCs w:val="16"/>
        </w:rPr>
        <w:t xml:space="preserve">itle is good and marketable and you can provide an unqualified certificate of </w:t>
      </w:r>
      <w:r w:rsidR="009369D5" w:rsidRPr="00BD38FB">
        <w:rPr>
          <w:sz w:val="16"/>
          <w:szCs w:val="16"/>
        </w:rPr>
        <w:t>T</w:t>
      </w:r>
      <w:r w:rsidRPr="00BD38FB">
        <w:rPr>
          <w:sz w:val="16"/>
          <w:szCs w:val="16"/>
        </w:rPr>
        <w:t xml:space="preserve">itle, we will not insist on indemnity </w:t>
      </w:r>
      <w:r w:rsidR="00F21D63" w:rsidRPr="00BD38FB">
        <w:rPr>
          <w:sz w:val="16"/>
          <w:szCs w:val="16"/>
        </w:rPr>
        <w:t>insurance,</w:t>
      </w:r>
      <w:r w:rsidRPr="00BD38FB">
        <w:rPr>
          <w:sz w:val="16"/>
          <w:szCs w:val="16"/>
        </w:rPr>
        <w:t xml:space="preserve"> and you may proceed.</w:t>
      </w:r>
      <w:r w:rsidR="009369D5" w:rsidRPr="00BD38FB">
        <w:rPr>
          <w:sz w:val="16"/>
          <w:szCs w:val="16"/>
        </w:rPr>
        <w:t>’</w:t>
      </w:r>
      <w:r w:rsidRPr="00BD38FB">
        <w:rPr>
          <w:sz w:val="16"/>
          <w:szCs w:val="16"/>
        </w:rPr>
        <w:t xml:space="preserve"> </w:t>
      </w:r>
    </w:p>
  </w:footnote>
  <w:footnote w:id="29">
    <w:p w14:paraId="3625C78B" w14:textId="1BF88D0A" w:rsidR="00FE4484" w:rsidRPr="00BD38FB" w:rsidRDefault="00FE4484" w:rsidP="00B92C1D">
      <w:pPr>
        <w:pStyle w:val="footnotedescription"/>
        <w:spacing w:line="252" w:lineRule="auto"/>
        <w:rPr>
          <w:sz w:val="16"/>
          <w:szCs w:val="16"/>
        </w:rPr>
      </w:pPr>
      <w:r w:rsidRPr="00BD38FB">
        <w:rPr>
          <w:rStyle w:val="footnotemark"/>
          <w:sz w:val="16"/>
          <w:szCs w:val="16"/>
        </w:rPr>
        <w:footnoteRef/>
      </w:r>
      <w:r w:rsidRPr="00BD38FB">
        <w:rPr>
          <w:sz w:val="16"/>
          <w:szCs w:val="16"/>
        </w:rPr>
        <w:t xml:space="preserve"> </w:t>
      </w:r>
      <w:r w:rsidR="005C5F13" w:rsidRPr="00BD38FB">
        <w:rPr>
          <w:sz w:val="16"/>
          <w:szCs w:val="16"/>
        </w:rPr>
        <w:t>s 39 Building Safety Act 2022 substitute s 36</w:t>
      </w:r>
      <w:hyperlink r:id="rId4" w:tooltip="Go to s. 36(4)" w:history="1">
        <w:r w:rsidR="005C5F13" w:rsidRPr="00BD38FB">
          <w:rPr>
            <w:rStyle w:val="Hyperlink"/>
            <w:sz w:val="16"/>
            <w:szCs w:val="16"/>
          </w:rPr>
          <w:t>(4)</w:t>
        </w:r>
      </w:hyperlink>
      <w:r w:rsidR="005C5F13" w:rsidRPr="00BD38FB">
        <w:rPr>
          <w:sz w:val="16"/>
          <w:szCs w:val="16"/>
        </w:rPr>
        <w:t xml:space="preserve"> of the BA1984 time limit for notices requiring removal or alteration of non-compliant work from </w:t>
      </w:r>
      <w:r w:rsidR="009369D5" w:rsidRPr="00BD38FB">
        <w:rPr>
          <w:sz w:val="16"/>
          <w:szCs w:val="16"/>
        </w:rPr>
        <w:t>‘</w:t>
      </w:r>
      <w:r w:rsidR="005C5F13" w:rsidRPr="00BD38FB">
        <w:rPr>
          <w:sz w:val="16"/>
          <w:szCs w:val="16"/>
        </w:rPr>
        <w:t>12 months</w:t>
      </w:r>
      <w:r w:rsidR="009369D5" w:rsidRPr="00BD38FB">
        <w:rPr>
          <w:sz w:val="16"/>
          <w:szCs w:val="16"/>
        </w:rPr>
        <w:t>’</w:t>
      </w:r>
      <w:r w:rsidR="005C5F13" w:rsidRPr="00BD38FB">
        <w:rPr>
          <w:sz w:val="16"/>
          <w:szCs w:val="16"/>
        </w:rPr>
        <w:t xml:space="preserve"> to </w:t>
      </w:r>
      <w:r w:rsidR="009369D5" w:rsidRPr="00BD38FB">
        <w:rPr>
          <w:sz w:val="16"/>
          <w:szCs w:val="16"/>
        </w:rPr>
        <w:t>‘</w:t>
      </w:r>
      <w:r w:rsidR="005C5F13" w:rsidRPr="00BD38FB">
        <w:rPr>
          <w:sz w:val="16"/>
          <w:szCs w:val="16"/>
        </w:rPr>
        <w:t>10 years</w:t>
      </w:r>
      <w:r w:rsidR="009369D5" w:rsidRPr="00BD38FB">
        <w:rPr>
          <w:sz w:val="16"/>
          <w:szCs w:val="16"/>
        </w:rPr>
        <w:t>’</w:t>
      </w:r>
      <w:r w:rsidR="005C5F13" w:rsidRPr="00BD38FB">
        <w:rPr>
          <w:sz w:val="16"/>
          <w:szCs w:val="16"/>
        </w:rPr>
        <w:t>.</w:t>
      </w:r>
    </w:p>
  </w:footnote>
  <w:footnote w:id="30">
    <w:p w14:paraId="1560DD60" w14:textId="1EB4301B" w:rsidR="00FE4484" w:rsidRPr="00BD38FB" w:rsidRDefault="00FE4484">
      <w:pPr>
        <w:pStyle w:val="footnotedescription"/>
        <w:spacing w:line="237" w:lineRule="auto"/>
        <w:rPr>
          <w:sz w:val="16"/>
          <w:szCs w:val="16"/>
        </w:rPr>
      </w:pPr>
      <w:r w:rsidRPr="00BD38FB">
        <w:rPr>
          <w:rStyle w:val="footnotemark"/>
          <w:sz w:val="16"/>
          <w:szCs w:val="16"/>
        </w:rPr>
        <w:footnoteRef/>
      </w:r>
      <w:r w:rsidRPr="00BD38FB">
        <w:rPr>
          <w:sz w:val="16"/>
          <w:szCs w:val="16"/>
        </w:rPr>
        <w:t xml:space="preserve"> Privity of Contract &amp; Estate </w:t>
      </w:r>
      <w:r w:rsidR="009369D5" w:rsidRPr="00BD38FB">
        <w:rPr>
          <w:sz w:val="16"/>
          <w:szCs w:val="16"/>
        </w:rPr>
        <w:t>‘</w:t>
      </w:r>
      <w:r w:rsidRPr="00BD38FB">
        <w:rPr>
          <w:sz w:val="16"/>
          <w:szCs w:val="16"/>
        </w:rPr>
        <w:t>a Burden cannot pass with the land unless an indemnity has been given</w:t>
      </w:r>
      <w:r w:rsidR="009369D5" w:rsidRPr="00BD38FB">
        <w:rPr>
          <w:sz w:val="16"/>
          <w:szCs w:val="16"/>
        </w:rPr>
        <w:t>’</w:t>
      </w:r>
      <w:r w:rsidRPr="00BD38FB">
        <w:rPr>
          <w:sz w:val="16"/>
          <w:szCs w:val="16"/>
        </w:rPr>
        <w:t xml:space="preserve">. The </w:t>
      </w:r>
      <w:r w:rsidR="00F21D63" w:rsidRPr="00BD38FB">
        <w:rPr>
          <w:sz w:val="16"/>
          <w:szCs w:val="16"/>
        </w:rPr>
        <w:t>Doctrine</w:t>
      </w:r>
      <w:r w:rsidRPr="00BD38FB">
        <w:rPr>
          <w:sz w:val="16"/>
          <w:szCs w:val="16"/>
        </w:rPr>
        <w:t xml:space="preserve"> of Notice: </w:t>
      </w:r>
      <w:r w:rsidR="009369D5" w:rsidRPr="00BD38FB">
        <w:rPr>
          <w:sz w:val="16"/>
          <w:szCs w:val="16"/>
        </w:rPr>
        <w:t>‘</w:t>
      </w:r>
      <w:r w:rsidRPr="00BD38FB">
        <w:rPr>
          <w:sz w:val="16"/>
          <w:szCs w:val="16"/>
        </w:rPr>
        <w:t>Where a covenant is registered i</w:t>
      </w:r>
      <w:r w:rsidR="009A4838" w:rsidRPr="00BD38FB">
        <w:rPr>
          <w:sz w:val="16"/>
          <w:szCs w:val="16"/>
        </w:rPr>
        <w:t>t</w:t>
      </w:r>
      <w:r w:rsidRPr="00BD38FB">
        <w:rPr>
          <w:sz w:val="16"/>
          <w:szCs w:val="16"/>
        </w:rPr>
        <w:t xml:space="preserve"> will still bind.</w:t>
      </w:r>
      <w:r w:rsidR="009369D5" w:rsidRPr="00BD38FB">
        <w:rPr>
          <w:sz w:val="16"/>
          <w:szCs w:val="16"/>
        </w:rPr>
        <w:t>’</w:t>
      </w:r>
      <w:r w:rsidRPr="00BD38FB">
        <w:rPr>
          <w:rFonts w:ascii="Calibri" w:eastAsia="Calibri" w:hAnsi="Calibri" w:cs="Calibri"/>
          <w:sz w:val="16"/>
          <w:szCs w:val="16"/>
        </w:rPr>
        <w:t xml:space="preserve"> </w:t>
      </w:r>
    </w:p>
  </w:footnote>
  <w:footnote w:id="31">
    <w:p w14:paraId="40195C6E" w14:textId="77777777" w:rsidR="00FE4484" w:rsidRPr="00BD38FB" w:rsidRDefault="00FE4484">
      <w:pPr>
        <w:pStyle w:val="footnotedescription"/>
        <w:spacing w:line="264" w:lineRule="auto"/>
        <w:rPr>
          <w:sz w:val="16"/>
          <w:szCs w:val="16"/>
        </w:rPr>
      </w:pPr>
      <w:r w:rsidRPr="00BD38FB">
        <w:rPr>
          <w:rStyle w:val="footnotemark"/>
          <w:sz w:val="16"/>
          <w:szCs w:val="16"/>
        </w:rPr>
        <w:footnoteRef/>
      </w:r>
      <w:r w:rsidRPr="00BD38FB">
        <w:rPr>
          <w:sz w:val="16"/>
          <w:szCs w:val="16"/>
        </w:rPr>
        <w:t xml:space="preserve"> Land Charges Act 1972 Charges of classes C(iv) &amp; D are void against a purchaser for money or monies worth if not registered. </w:t>
      </w:r>
    </w:p>
  </w:footnote>
  <w:footnote w:id="32">
    <w:p w14:paraId="08C1994C" w14:textId="55EEA094" w:rsidR="00FE4484" w:rsidRPr="00BD38FB" w:rsidRDefault="00FE4484" w:rsidP="00D904EA">
      <w:pPr>
        <w:pStyle w:val="footnotedescription"/>
        <w:spacing w:line="287" w:lineRule="auto"/>
        <w:rPr>
          <w:sz w:val="16"/>
          <w:szCs w:val="16"/>
        </w:rPr>
      </w:pPr>
      <w:r w:rsidRPr="00BD38FB">
        <w:rPr>
          <w:rStyle w:val="footnotemark"/>
          <w:sz w:val="16"/>
          <w:szCs w:val="16"/>
        </w:rPr>
        <w:footnoteRef/>
      </w:r>
      <w:r w:rsidRPr="00BD38FB">
        <w:rPr>
          <w:sz w:val="16"/>
          <w:szCs w:val="16"/>
        </w:rPr>
        <w:t xml:space="preserve"> UKF </w:t>
      </w:r>
      <w:r w:rsidR="00BD38FB">
        <w:rPr>
          <w:sz w:val="16"/>
          <w:szCs w:val="16"/>
        </w:rPr>
        <w:t>H</w:t>
      </w:r>
      <w:r w:rsidRPr="00BD38FB">
        <w:rPr>
          <w:sz w:val="16"/>
          <w:szCs w:val="16"/>
        </w:rPr>
        <w:t xml:space="preserve">andbook Part 1 5.11.2 following the decision in Hepworth –v- Pickles 1900 </w:t>
      </w:r>
      <w:r w:rsidR="00BD38FB">
        <w:rPr>
          <w:sz w:val="16"/>
          <w:szCs w:val="16"/>
        </w:rPr>
        <w:t>‘</w:t>
      </w:r>
      <w:r w:rsidRPr="00BD38FB">
        <w:rPr>
          <w:sz w:val="16"/>
          <w:szCs w:val="16"/>
        </w:rPr>
        <w:t>an open and uninterrupted breach over 20 years creates an implied waiver</w:t>
      </w:r>
      <w:r w:rsidR="00BD38FB">
        <w:rPr>
          <w:sz w:val="16"/>
          <w:szCs w:val="16"/>
        </w:rPr>
        <w:t>’</w:t>
      </w:r>
      <w:r w:rsidRPr="00BD38FB">
        <w:rPr>
          <w:sz w:val="16"/>
          <w:szCs w:val="16"/>
        </w:rPr>
        <w:t xml:space="preserve">. </w:t>
      </w:r>
    </w:p>
  </w:footnote>
  <w:footnote w:id="33">
    <w:p w14:paraId="4B2B35CA" w14:textId="3006E41A" w:rsidR="00FE4484" w:rsidRPr="00BD38FB" w:rsidRDefault="00FE4484" w:rsidP="00837327">
      <w:pPr>
        <w:pStyle w:val="footnotedescription"/>
        <w:rPr>
          <w:sz w:val="16"/>
          <w:szCs w:val="16"/>
        </w:rPr>
      </w:pPr>
      <w:r w:rsidRPr="00BD38FB">
        <w:rPr>
          <w:rStyle w:val="footnotemark"/>
          <w:sz w:val="16"/>
          <w:szCs w:val="16"/>
        </w:rPr>
        <w:footnoteRef/>
      </w:r>
      <w:r w:rsidRPr="00BD38FB">
        <w:rPr>
          <w:sz w:val="16"/>
          <w:szCs w:val="16"/>
        </w:rPr>
        <w:t xml:space="preserve"> CQS Protocol: Stage A: Instructions</w:t>
      </w:r>
      <w:r w:rsidR="00BD38FB">
        <w:rPr>
          <w:sz w:val="16"/>
          <w:szCs w:val="16"/>
        </w:rPr>
        <w:t>.</w:t>
      </w:r>
    </w:p>
  </w:footnote>
  <w:footnote w:id="34">
    <w:p w14:paraId="37B83073" w14:textId="1369789D" w:rsidR="00FE4484" w:rsidRPr="00BD38FB" w:rsidRDefault="00FE4484">
      <w:pPr>
        <w:pStyle w:val="FootnoteText"/>
        <w:rPr>
          <w:sz w:val="16"/>
          <w:szCs w:val="16"/>
        </w:rPr>
      </w:pPr>
      <w:r w:rsidRPr="00BD38FB">
        <w:rPr>
          <w:rStyle w:val="FootnoteReference"/>
          <w:sz w:val="16"/>
          <w:szCs w:val="16"/>
        </w:rPr>
        <w:footnoteRef/>
      </w:r>
      <w:r w:rsidRPr="00BD38FB">
        <w:rPr>
          <w:sz w:val="16"/>
          <w:szCs w:val="16"/>
        </w:rPr>
        <w:t xml:space="preserve"> Powell v. Hemsley, 1909, 1 Ch. 680, 2 Ch. 252</w:t>
      </w:r>
      <w:r w:rsidR="00BD38FB">
        <w:rPr>
          <w:sz w:val="16"/>
          <w:szCs w:val="16"/>
        </w:rPr>
        <w:t>.</w:t>
      </w:r>
    </w:p>
  </w:footnote>
  <w:footnote w:id="35">
    <w:p w14:paraId="30278DDC" w14:textId="6D599BD7" w:rsidR="00FE4484" w:rsidRPr="00BD38FB" w:rsidRDefault="00FE4484" w:rsidP="00837327">
      <w:pPr>
        <w:pStyle w:val="footnotedescription"/>
        <w:spacing w:line="264" w:lineRule="auto"/>
        <w:ind w:right="467"/>
        <w:rPr>
          <w:sz w:val="16"/>
          <w:szCs w:val="16"/>
        </w:rPr>
      </w:pPr>
      <w:r w:rsidRPr="00BD38FB">
        <w:rPr>
          <w:rStyle w:val="footnotemark"/>
          <w:sz w:val="16"/>
          <w:szCs w:val="16"/>
        </w:rPr>
        <w:footnoteRef/>
      </w:r>
      <w:r w:rsidRPr="00BD38FB">
        <w:rPr>
          <w:sz w:val="16"/>
          <w:szCs w:val="16"/>
        </w:rPr>
        <w:t xml:space="preserve"> It is assumed the Seller is selling at full value and therefore should perfect any defect in </w:t>
      </w:r>
      <w:r w:rsidR="00BD38FB">
        <w:rPr>
          <w:sz w:val="16"/>
          <w:szCs w:val="16"/>
        </w:rPr>
        <w:t>T</w:t>
      </w:r>
      <w:r w:rsidRPr="00BD38FB">
        <w:rPr>
          <w:sz w:val="16"/>
          <w:szCs w:val="16"/>
        </w:rPr>
        <w:t xml:space="preserve">itle at their expense. </w:t>
      </w:r>
    </w:p>
  </w:footnote>
  <w:footnote w:id="36">
    <w:p w14:paraId="5C0EC419" w14:textId="21BC6CEF" w:rsidR="001B55D3" w:rsidRPr="00BD38FB" w:rsidRDefault="001B55D3" w:rsidP="001B55D3">
      <w:pPr>
        <w:pStyle w:val="FootnoteText"/>
        <w:rPr>
          <w:sz w:val="16"/>
          <w:szCs w:val="16"/>
        </w:rPr>
      </w:pPr>
      <w:r w:rsidRPr="00BD38FB">
        <w:rPr>
          <w:rStyle w:val="FootnoteReference"/>
          <w:sz w:val="16"/>
          <w:szCs w:val="16"/>
        </w:rPr>
        <w:footnoteRef/>
      </w:r>
      <w:r w:rsidRPr="00BD38FB">
        <w:rPr>
          <w:sz w:val="16"/>
          <w:szCs w:val="16"/>
        </w:rPr>
        <w:t xml:space="preserve"> Powell v. Hemsley, 1909, 1 Ch. 680, 2 Ch. 252</w:t>
      </w:r>
      <w:r w:rsidR="00BD38FB">
        <w:rPr>
          <w:sz w:val="16"/>
          <w:szCs w:val="16"/>
        </w:rPr>
        <w:t>.</w:t>
      </w:r>
    </w:p>
  </w:footnote>
  <w:footnote w:id="37">
    <w:p w14:paraId="7BA59BE6" w14:textId="627A6F75" w:rsidR="00FE4484" w:rsidRPr="00BD38FB" w:rsidRDefault="00FE4484" w:rsidP="00837327">
      <w:pPr>
        <w:pStyle w:val="footnotedescription"/>
        <w:spacing w:line="221" w:lineRule="auto"/>
        <w:ind w:right="195"/>
        <w:rPr>
          <w:sz w:val="16"/>
          <w:szCs w:val="16"/>
        </w:rPr>
      </w:pPr>
      <w:r w:rsidRPr="00BD38FB">
        <w:rPr>
          <w:rStyle w:val="footnotemark"/>
          <w:sz w:val="16"/>
          <w:szCs w:val="16"/>
        </w:rPr>
        <w:footnoteRef/>
      </w:r>
      <w:r w:rsidRPr="00BD38FB">
        <w:rPr>
          <w:sz w:val="16"/>
          <w:szCs w:val="16"/>
        </w:rPr>
        <w:t xml:space="preserve"> UKF </w:t>
      </w:r>
      <w:r w:rsidR="00BD38FB">
        <w:rPr>
          <w:sz w:val="16"/>
          <w:szCs w:val="16"/>
        </w:rPr>
        <w:t>H</w:t>
      </w:r>
      <w:r w:rsidRPr="00BD38FB">
        <w:rPr>
          <w:sz w:val="16"/>
          <w:szCs w:val="16"/>
        </w:rPr>
        <w:t xml:space="preserve">andbook Part 1 5.11.2 following the decision in Hepworth –v- Pickles 1900 </w:t>
      </w:r>
      <w:r w:rsidR="00BD38FB">
        <w:rPr>
          <w:sz w:val="16"/>
          <w:szCs w:val="16"/>
        </w:rPr>
        <w:t>‘</w:t>
      </w:r>
      <w:r w:rsidRPr="00BD38FB">
        <w:rPr>
          <w:sz w:val="16"/>
          <w:szCs w:val="16"/>
        </w:rPr>
        <w:t>an open and uninterrupted breach over 20 years creates an implied waiver</w:t>
      </w:r>
      <w:r w:rsidR="00BD38FB">
        <w:rPr>
          <w:sz w:val="16"/>
          <w:szCs w:val="16"/>
        </w:rPr>
        <w:t>’</w:t>
      </w:r>
      <w:r w:rsidRPr="00BD38FB">
        <w:rPr>
          <w:sz w:val="16"/>
          <w:szCs w:val="16"/>
        </w:rPr>
        <w:t>.</w:t>
      </w:r>
      <w:r w:rsidRPr="00BD38FB">
        <w:rPr>
          <w:rFonts w:ascii="Calibri" w:eastAsia="Calibri" w:hAnsi="Calibri" w:cs="Calibri"/>
          <w:sz w:val="16"/>
          <w:szCs w:val="16"/>
        </w:rPr>
        <w:t xml:space="preserve"> </w:t>
      </w:r>
    </w:p>
  </w:footnote>
  <w:footnote w:id="38">
    <w:p w14:paraId="074E181F" w14:textId="32CD7FED" w:rsidR="00FE4484" w:rsidRPr="00865CFE" w:rsidRDefault="00FE4484">
      <w:pPr>
        <w:pStyle w:val="FootnoteText"/>
        <w:rPr>
          <w:sz w:val="16"/>
          <w:szCs w:val="16"/>
        </w:rPr>
      </w:pPr>
      <w:r w:rsidRPr="00865CFE">
        <w:rPr>
          <w:rStyle w:val="FootnoteReference"/>
          <w:sz w:val="16"/>
          <w:szCs w:val="16"/>
        </w:rPr>
        <w:footnoteRef/>
      </w:r>
      <w:r w:rsidRPr="00865CFE">
        <w:rPr>
          <w:sz w:val="16"/>
          <w:szCs w:val="16"/>
        </w:rPr>
        <w:t xml:space="preserve"> </w:t>
      </w:r>
      <w:r w:rsidR="0065688B" w:rsidRPr="0065688B">
        <w:rPr>
          <w:sz w:val="16"/>
          <w:szCs w:val="16"/>
        </w:rPr>
        <w:t>UK Finance Lenders Handbook 5.14.1</w:t>
      </w:r>
      <w:r w:rsidR="00BD38FB">
        <w:rPr>
          <w:sz w:val="16"/>
          <w:szCs w:val="16"/>
        </w:rPr>
        <w:t>.</w:t>
      </w:r>
    </w:p>
  </w:footnote>
  <w:footnote w:id="39">
    <w:p w14:paraId="1B5ABE11" w14:textId="10B179AC" w:rsidR="00FE4484" w:rsidRPr="00865CFE" w:rsidRDefault="00FE4484" w:rsidP="00837327">
      <w:pPr>
        <w:pStyle w:val="footnotedescription"/>
        <w:spacing w:line="236" w:lineRule="auto"/>
        <w:ind w:right="756"/>
        <w:rPr>
          <w:sz w:val="16"/>
          <w:szCs w:val="16"/>
        </w:rPr>
      </w:pPr>
      <w:r w:rsidRPr="00865CFE">
        <w:rPr>
          <w:rStyle w:val="footnotemark"/>
          <w:sz w:val="16"/>
          <w:szCs w:val="16"/>
        </w:rPr>
        <w:footnoteRef/>
      </w:r>
      <w:r w:rsidRPr="00865CFE">
        <w:rPr>
          <w:sz w:val="16"/>
          <w:szCs w:val="16"/>
        </w:rPr>
        <w:t xml:space="preserve"> Legal Ombudsman advice on common complaints indicates</w:t>
      </w:r>
      <w:r w:rsidR="00BD38FB">
        <w:rPr>
          <w:sz w:val="16"/>
          <w:szCs w:val="16"/>
        </w:rPr>
        <w:t>.</w:t>
      </w:r>
    </w:p>
  </w:footnote>
  <w:footnote w:id="40">
    <w:p w14:paraId="3152A6D5" w14:textId="1C45DC9F" w:rsidR="00FE4484" w:rsidRDefault="00FE4484">
      <w:pPr>
        <w:pStyle w:val="FootnoteText"/>
      </w:pPr>
      <w:r w:rsidRPr="00865CFE">
        <w:rPr>
          <w:rStyle w:val="FootnoteReference"/>
          <w:sz w:val="16"/>
          <w:szCs w:val="16"/>
        </w:rPr>
        <w:footnoteRef/>
      </w:r>
      <w:r w:rsidRPr="00865CFE">
        <w:rPr>
          <w:sz w:val="16"/>
          <w:szCs w:val="16"/>
        </w:rPr>
        <w:t xml:space="preserve"> Commonhold and Leasehold Reform Act 2002 states the marriage value can be ignored in leases with over 80</w:t>
      </w:r>
      <w:r w:rsidR="00BD38FB">
        <w:rPr>
          <w:sz w:val="16"/>
          <w:szCs w:val="16"/>
        </w:rPr>
        <w:t xml:space="preserve"> </w:t>
      </w:r>
      <w:r w:rsidRPr="00865CFE">
        <w:rPr>
          <w:sz w:val="16"/>
          <w:szCs w:val="16"/>
        </w:rPr>
        <w:t>years left</w:t>
      </w:r>
      <w:r w:rsidR="00BD38FB">
        <w:rPr>
          <w:sz w:val="16"/>
          <w:szCs w:val="16"/>
        </w:rPr>
        <w:t>.</w:t>
      </w:r>
    </w:p>
  </w:footnote>
  <w:footnote w:id="41">
    <w:p w14:paraId="46A3773D" w14:textId="6483918D" w:rsidR="008344AB" w:rsidRPr="00122A9E" w:rsidRDefault="008344AB">
      <w:pPr>
        <w:pStyle w:val="FootnoteText"/>
        <w:rPr>
          <w:sz w:val="16"/>
          <w:szCs w:val="16"/>
        </w:rPr>
      </w:pPr>
      <w:r w:rsidRPr="00122A9E">
        <w:rPr>
          <w:rStyle w:val="FootnoteReference"/>
          <w:sz w:val="16"/>
          <w:szCs w:val="16"/>
        </w:rPr>
        <w:footnoteRef/>
      </w:r>
      <w:r w:rsidRPr="00122A9E">
        <w:rPr>
          <w:sz w:val="16"/>
          <w:szCs w:val="16"/>
        </w:rPr>
        <w:t xml:space="preserve"> Building Safety Act 2022 Part 2 Section 119(2)(c) requires </w:t>
      </w:r>
      <w:r w:rsidRPr="00122A9E">
        <w:rPr>
          <w:sz w:val="16"/>
          <w:szCs w:val="16"/>
          <w:shd w:val="clear" w:color="auto" w:fill="FFFFFF"/>
        </w:rPr>
        <w:t xml:space="preserve">the lease to be granted before 14 February 2022 for the leaseholder to qualify for leaseholder protections, for a relevant building at least 11 meters or </w:t>
      </w:r>
      <w:r w:rsidR="00E16D3A">
        <w:rPr>
          <w:sz w:val="16"/>
          <w:szCs w:val="16"/>
          <w:shd w:val="clear" w:color="auto" w:fill="FFFFFF"/>
        </w:rPr>
        <w:t>five</w:t>
      </w:r>
      <w:r w:rsidRPr="00122A9E">
        <w:rPr>
          <w:sz w:val="16"/>
          <w:szCs w:val="16"/>
          <w:shd w:val="clear" w:color="auto" w:fill="FFFFFF"/>
        </w:rPr>
        <w:t xml:space="preserve"> storeys in height, subject to the other provisions of the Act. </w:t>
      </w:r>
      <w:r w:rsidR="009A4838">
        <w:rPr>
          <w:sz w:val="16"/>
          <w:szCs w:val="16"/>
          <w:shd w:val="clear" w:color="auto" w:fill="FFFFFF"/>
        </w:rPr>
        <w:t>s243 of the Levelling-Up &amp; Regeneration Act 2023 allows a connected replacement lease to retain the Leaseholder Qualification.</w:t>
      </w:r>
    </w:p>
  </w:footnote>
  <w:footnote w:id="42">
    <w:p w14:paraId="13BFFA8B" w14:textId="3F2D87D8" w:rsidR="00FE4484" w:rsidRPr="00F74C21" w:rsidRDefault="00FE4484">
      <w:pPr>
        <w:pStyle w:val="FootnoteText"/>
        <w:rPr>
          <w:sz w:val="16"/>
          <w:szCs w:val="16"/>
        </w:rPr>
      </w:pPr>
      <w:r w:rsidRPr="00F74C21">
        <w:rPr>
          <w:rStyle w:val="FootnoteReference"/>
          <w:sz w:val="16"/>
          <w:szCs w:val="16"/>
        </w:rPr>
        <w:footnoteRef/>
      </w:r>
      <w:r w:rsidRPr="00F74C21">
        <w:rPr>
          <w:sz w:val="16"/>
          <w:szCs w:val="16"/>
        </w:rPr>
        <w:t xml:space="preserve"> CQS: Stage A</w:t>
      </w:r>
      <w:r w:rsidR="00BD38FB">
        <w:rPr>
          <w:sz w:val="16"/>
          <w:szCs w:val="16"/>
        </w:rPr>
        <w:t>.</w:t>
      </w:r>
    </w:p>
  </w:footnote>
  <w:footnote w:id="43">
    <w:p w14:paraId="033A613B" w14:textId="50C13944" w:rsidR="00FE4484" w:rsidRPr="00F74C21" w:rsidRDefault="00FE4484">
      <w:pPr>
        <w:pStyle w:val="FootnoteText"/>
        <w:rPr>
          <w:color w:val="000000" w:themeColor="text1"/>
          <w:sz w:val="16"/>
          <w:szCs w:val="16"/>
        </w:rPr>
      </w:pPr>
      <w:r w:rsidRPr="00F74C21">
        <w:rPr>
          <w:rStyle w:val="FootnoteReference"/>
          <w:sz w:val="16"/>
          <w:szCs w:val="16"/>
        </w:rPr>
        <w:footnoteRef/>
      </w:r>
      <w:r w:rsidRPr="00F74C21">
        <w:rPr>
          <w:sz w:val="16"/>
          <w:szCs w:val="16"/>
        </w:rPr>
        <w:t xml:space="preserve"> Commonhold &amp; Leasehold Reform Act 2002 Para 1 Schedule 11</w:t>
      </w:r>
      <w:r w:rsidR="00BD38FB">
        <w:rPr>
          <w:sz w:val="16"/>
          <w:szCs w:val="16"/>
        </w:rPr>
        <w:t>.</w:t>
      </w:r>
    </w:p>
  </w:footnote>
  <w:footnote w:id="44">
    <w:p w14:paraId="60A8EFFB" w14:textId="0E12C9A7" w:rsidR="00FE4484" w:rsidRPr="00BD38FB" w:rsidRDefault="00FE4484">
      <w:pPr>
        <w:pStyle w:val="FootnoteText"/>
        <w:rPr>
          <w:sz w:val="16"/>
          <w:szCs w:val="16"/>
        </w:rPr>
      </w:pPr>
      <w:r w:rsidRPr="00BD38FB">
        <w:rPr>
          <w:rStyle w:val="FootnoteReference"/>
          <w:color w:val="000000" w:themeColor="text1"/>
          <w:sz w:val="16"/>
          <w:szCs w:val="16"/>
        </w:rPr>
        <w:footnoteRef/>
      </w:r>
      <w:r w:rsidRPr="00BD38FB">
        <w:rPr>
          <w:color w:val="000000" w:themeColor="text1"/>
          <w:sz w:val="16"/>
          <w:szCs w:val="16"/>
        </w:rPr>
        <w:t xml:space="preserve"> </w:t>
      </w:r>
      <w:hyperlink r:id="rId5" w:history="1">
        <w:r w:rsidRPr="00BD38FB">
          <w:rPr>
            <w:rStyle w:val="Hyperlink"/>
            <w:bCs/>
            <w:color w:val="000000" w:themeColor="text1"/>
            <w:sz w:val="16"/>
            <w:szCs w:val="16"/>
            <w:u w:val="none"/>
            <w:bdr w:val="none" w:sz="0" w:space="0" w:color="auto" w:frame="1"/>
            <w:shd w:val="clear" w:color="auto" w:fill="FFFFFF"/>
          </w:rPr>
          <w:t>Proxima GR Properties Ltd v Dr Thomas D McGhee [2014] UKUT 0059 (LC)</w:t>
        </w:r>
      </w:hyperlink>
      <w:r w:rsidR="00BD38FB" w:rsidRPr="00BD38FB">
        <w:rPr>
          <w:rStyle w:val="Hyperlink"/>
          <w:bCs/>
          <w:color w:val="000000" w:themeColor="text1"/>
          <w:sz w:val="16"/>
          <w:szCs w:val="16"/>
          <w:u w:val="none"/>
          <w:bdr w:val="none" w:sz="0" w:space="0" w:color="auto" w:frame="1"/>
          <w:shd w:val="clear" w:color="auto" w:fill="FFFFFF"/>
        </w:rPr>
        <w:t>.</w:t>
      </w:r>
    </w:p>
  </w:footnote>
  <w:footnote w:id="45">
    <w:p w14:paraId="3DACBC29" w14:textId="01CEBF99" w:rsidR="00FE4484" w:rsidRPr="00BD38FB" w:rsidRDefault="00FE4484" w:rsidP="003D4FE4">
      <w:pPr>
        <w:pStyle w:val="FootnoteText"/>
        <w:rPr>
          <w:sz w:val="16"/>
          <w:szCs w:val="16"/>
        </w:rPr>
      </w:pPr>
      <w:r w:rsidRPr="00BD38FB">
        <w:rPr>
          <w:rStyle w:val="FootnoteReference"/>
          <w:sz w:val="16"/>
          <w:szCs w:val="16"/>
        </w:rPr>
        <w:footnoteRef/>
      </w:r>
      <w:r w:rsidRPr="00BD38FB">
        <w:rPr>
          <w:sz w:val="16"/>
          <w:szCs w:val="16"/>
        </w:rPr>
        <w:t xml:space="preserve"> </w:t>
      </w:r>
      <w:r w:rsidRPr="00BD38FB">
        <w:rPr>
          <w:rStyle w:val="Emphasis"/>
          <w:bCs/>
          <w:i w:val="0"/>
          <w:iCs w:val="0"/>
          <w:color w:val="000000" w:themeColor="text1"/>
          <w:sz w:val="16"/>
          <w:szCs w:val="16"/>
          <w:shd w:val="clear" w:color="auto" w:fill="FFFFFF"/>
        </w:rPr>
        <w:t xml:space="preserve">Spencer Wade v </w:t>
      </w:r>
      <w:proofErr w:type="spellStart"/>
      <w:r w:rsidRPr="00BD38FB">
        <w:rPr>
          <w:rStyle w:val="Emphasis"/>
          <w:bCs/>
          <w:i w:val="0"/>
          <w:iCs w:val="0"/>
          <w:color w:val="000000" w:themeColor="text1"/>
          <w:sz w:val="16"/>
          <w:szCs w:val="16"/>
          <w:shd w:val="clear" w:color="auto" w:fill="FFFFFF"/>
        </w:rPr>
        <w:t>Orchidbase</w:t>
      </w:r>
      <w:proofErr w:type="spellEnd"/>
      <w:r w:rsidRPr="00BD38FB">
        <w:rPr>
          <w:color w:val="000000" w:themeColor="text1"/>
          <w:sz w:val="16"/>
          <w:szCs w:val="16"/>
          <w:shd w:val="clear" w:color="auto" w:fill="FFFFFF"/>
        </w:rPr>
        <w:t> Ltd [2014]</w:t>
      </w:r>
      <w:r w:rsidR="00BD38FB" w:rsidRPr="00BD38FB">
        <w:rPr>
          <w:color w:val="000000" w:themeColor="text1"/>
          <w:sz w:val="16"/>
          <w:szCs w:val="16"/>
          <w:shd w:val="clear" w:color="auto" w:fill="FFFFFF"/>
        </w:rPr>
        <w:t>.</w:t>
      </w:r>
    </w:p>
  </w:footnote>
  <w:footnote w:id="46">
    <w:p w14:paraId="6730EFA0" w14:textId="7398FF56" w:rsidR="00FE4484" w:rsidRPr="00BD38FB" w:rsidRDefault="00FE4484">
      <w:pPr>
        <w:pStyle w:val="FootnoteText"/>
        <w:rPr>
          <w:sz w:val="16"/>
          <w:szCs w:val="16"/>
        </w:rPr>
      </w:pPr>
      <w:r w:rsidRPr="00BD38FB">
        <w:rPr>
          <w:rStyle w:val="FootnoteReference"/>
          <w:sz w:val="16"/>
          <w:szCs w:val="16"/>
        </w:rPr>
        <w:footnoteRef/>
      </w:r>
      <w:r w:rsidRPr="00BD38FB">
        <w:rPr>
          <w:sz w:val="16"/>
          <w:szCs w:val="16"/>
        </w:rPr>
        <w:t xml:space="preserve"> The Landlord &amp; Tenant (Covenants) Act 1995</w:t>
      </w:r>
      <w:r w:rsidR="00BD38FB" w:rsidRPr="00BD38FB">
        <w:rPr>
          <w:sz w:val="16"/>
          <w:szCs w:val="16"/>
        </w:rPr>
        <w:t>.</w:t>
      </w:r>
    </w:p>
  </w:footnote>
  <w:footnote w:id="47">
    <w:p w14:paraId="7FF3449C" w14:textId="20C14DAC" w:rsidR="008027D5" w:rsidRPr="00BD38FB" w:rsidRDefault="008027D5">
      <w:pPr>
        <w:pStyle w:val="FootnoteText"/>
        <w:rPr>
          <w:sz w:val="16"/>
          <w:szCs w:val="16"/>
        </w:rPr>
      </w:pPr>
      <w:hyperlink r:id="rId6" w:history="1">
        <w:r w:rsidRPr="00BD38FB">
          <w:rPr>
            <w:rStyle w:val="Hyperlink"/>
            <w:sz w:val="16"/>
            <w:szCs w:val="16"/>
            <w:vertAlign w:val="superscript"/>
          </w:rPr>
          <w:footnoteRef/>
        </w:r>
        <w:r w:rsidRPr="00BD38FB">
          <w:rPr>
            <w:rStyle w:val="Hyperlink"/>
            <w:sz w:val="16"/>
            <w:szCs w:val="16"/>
          </w:rPr>
          <w:t xml:space="preserve"> CMA Leasehold Report</w:t>
        </w:r>
      </w:hyperlink>
      <w:r w:rsidR="00BD38FB">
        <w:rPr>
          <w:rStyle w:val="Hyperlink"/>
          <w:sz w:val="16"/>
          <w:szCs w:val="16"/>
        </w:rPr>
        <w:t>.</w:t>
      </w:r>
    </w:p>
  </w:footnote>
  <w:footnote w:id="48">
    <w:p w14:paraId="341AC08E" w14:textId="771635ED" w:rsidR="0015339F" w:rsidRDefault="0015339F">
      <w:pPr>
        <w:pStyle w:val="FootnoteText"/>
      </w:pPr>
      <w:r>
        <w:rPr>
          <w:rStyle w:val="FootnoteReference"/>
        </w:rPr>
        <w:footnoteRef/>
      </w:r>
      <w:r>
        <w:t xml:space="preserve"> </w:t>
      </w:r>
      <w:r w:rsidRPr="0015339F">
        <w:rPr>
          <w:sz w:val="16"/>
          <w:szCs w:val="16"/>
        </w:rPr>
        <w:t>S.113 of the Leasehold &amp; Freehold Reform Act 2024</w:t>
      </w:r>
      <w:r w:rsidR="00545D9F">
        <w:rPr>
          <w:sz w:val="16"/>
          <w:szCs w:val="16"/>
        </w:rPr>
        <w:t>.</w:t>
      </w:r>
    </w:p>
  </w:footnote>
  <w:footnote w:id="49">
    <w:p w14:paraId="47A06E4C" w14:textId="2967D5CF" w:rsidR="00C3714E" w:rsidRPr="00CC4301" w:rsidRDefault="00C3714E">
      <w:pPr>
        <w:pStyle w:val="FootnoteText"/>
        <w:rPr>
          <w:sz w:val="16"/>
        </w:rPr>
      </w:pPr>
      <w:r>
        <w:rPr>
          <w:rStyle w:val="FootnoteReference"/>
        </w:rPr>
        <w:footnoteRef/>
      </w:r>
      <w:r>
        <w:t xml:space="preserve"> </w:t>
      </w:r>
      <w:hyperlink r:id="rId7" w:history="1">
        <w:r w:rsidR="00152CA7" w:rsidRPr="00237966">
          <w:rPr>
            <w:rStyle w:val="Hyperlink"/>
            <w:sz w:val="16"/>
          </w:rPr>
          <w:t>https://assets.publishing.service.gov.uk/government/uploads/system/uploads/attachment_data/file/670204/Tackling_Unfair_Practices_-_gov_response.pdf</w:t>
        </w:r>
      </w:hyperlink>
    </w:p>
  </w:footnote>
  <w:footnote w:id="50">
    <w:p w14:paraId="06221EF2" w14:textId="3E66E31D" w:rsidR="00FE4484" w:rsidRPr="007A7AD1" w:rsidRDefault="00FE4484">
      <w:pPr>
        <w:pStyle w:val="FootnoteText"/>
      </w:pPr>
      <w:r w:rsidRPr="00CC4301">
        <w:rPr>
          <w:rStyle w:val="FootnoteReference"/>
          <w:color w:val="000000" w:themeColor="text1"/>
          <w:sz w:val="16"/>
        </w:rPr>
        <w:footnoteRef/>
      </w:r>
      <w:r w:rsidRPr="00CC4301">
        <w:rPr>
          <w:color w:val="000000" w:themeColor="text1"/>
          <w:sz w:val="16"/>
        </w:rPr>
        <w:t xml:space="preserve"> </w:t>
      </w:r>
      <w:r w:rsidRPr="00CC4301">
        <w:rPr>
          <w:color w:val="000000" w:themeColor="text1"/>
          <w:sz w:val="16"/>
          <w:shd w:val="clear" w:color="auto" w:fill="FFFFFF"/>
        </w:rPr>
        <w:t> </w:t>
      </w:r>
      <w:r w:rsidRPr="00CC4301">
        <w:rPr>
          <w:rStyle w:val="Emphasis"/>
          <w:i w:val="0"/>
          <w:color w:val="000000" w:themeColor="text1"/>
          <w:sz w:val="16"/>
          <w:shd w:val="clear" w:color="auto" w:fill="FFFFFF"/>
        </w:rPr>
        <w:t>P &amp; P</w:t>
      </w:r>
      <w:r w:rsidRPr="00CC4301">
        <w:rPr>
          <w:color w:val="000000" w:themeColor="text1"/>
          <w:sz w:val="16"/>
          <w:shd w:val="clear" w:color="auto" w:fill="FFFFFF"/>
        </w:rPr>
        <w:t> Property Limited </w:t>
      </w:r>
      <w:r w:rsidRPr="00CC4301">
        <w:rPr>
          <w:rStyle w:val="Emphasis"/>
          <w:i w:val="0"/>
          <w:color w:val="000000" w:themeColor="text1"/>
          <w:sz w:val="16"/>
          <w:shd w:val="clear" w:color="auto" w:fill="FFFFFF"/>
        </w:rPr>
        <w:t>v OWC</w:t>
      </w:r>
      <w:r w:rsidRPr="00CC4301">
        <w:rPr>
          <w:color w:val="000000" w:themeColor="text1"/>
          <w:sz w:val="16"/>
          <w:shd w:val="clear" w:color="auto" w:fill="FFFFFF"/>
        </w:rPr>
        <w:t xml:space="preserve"> LLP and </w:t>
      </w:r>
      <w:proofErr w:type="spellStart"/>
      <w:r w:rsidRPr="00CC4301">
        <w:rPr>
          <w:color w:val="000000" w:themeColor="text1"/>
          <w:sz w:val="16"/>
          <w:shd w:val="clear" w:color="auto" w:fill="FFFFFF"/>
        </w:rPr>
        <w:t>Crownvent</w:t>
      </w:r>
      <w:proofErr w:type="spellEnd"/>
      <w:r w:rsidRPr="00CC4301">
        <w:rPr>
          <w:color w:val="000000" w:themeColor="text1"/>
          <w:sz w:val="16"/>
          <w:shd w:val="clear" w:color="auto" w:fill="FFFFFF"/>
        </w:rPr>
        <w:t xml:space="preserve"> Ltd t/a Winkworth [2016] EWHC </w:t>
      </w:r>
      <w:r w:rsidR="00F21D63" w:rsidRPr="00CC4301">
        <w:rPr>
          <w:color w:val="000000" w:themeColor="text1"/>
          <w:sz w:val="16"/>
          <w:shd w:val="clear" w:color="auto" w:fill="FFFFFF"/>
        </w:rPr>
        <w:t xml:space="preserve">2276, </w:t>
      </w:r>
      <w:proofErr w:type="spellStart"/>
      <w:r w:rsidR="00F21D63" w:rsidRPr="00CC4301">
        <w:rPr>
          <w:color w:val="000000" w:themeColor="text1"/>
          <w:sz w:val="16"/>
          <w:shd w:val="clear" w:color="auto" w:fill="FFFFFF"/>
        </w:rPr>
        <w:t>Purrunsing</w:t>
      </w:r>
      <w:proofErr w:type="spellEnd"/>
      <w:r w:rsidRPr="00CC4301">
        <w:rPr>
          <w:color w:val="000000" w:themeColor="text1"/>
          <w:sz w:val="16"/>
          <w:shd w:val="clear" w:color="auto" w:fill="FFFFFF"/>
        </w:rPr>
        <w:t> v A'Court &amp; Co (a firm) &amp; Anor [2016] EWHC 789 (Ch)</w:t>
      </w:r>
      <w:r w:rsidR="007E566B">
        <w:rPr>
          <w:color w:val="000000" w:themeColor="text1"/>
          <w:sz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190D" w14:textId="4E2F6A4D" w:rsidR="00FE4484" w:rsidRDefault="00FE4484">
    <w:pPr>
      <w:spacing w:after="0" w:line="259" w:lineRule="auto"/>
      <w:ind w:left="-134" w:right="4113" w:firstLine="0"/>
      <w:jc w:val="center"/>
    </w:pPr>
    <w:r>
      <w:rPr>
        <w:noProof/>
      </w:rPr>
      <w:drawing>
        <wp:anchor distT="0" distB="0" distL="114300" distR="114300" simplePos="0" relativeHeight="251658240" behindDoc="0" locked="0" layoutInCell="1" allowOverlap="0" wp14:anchorId="3BEC035E" wp14:editId="684A0A22">
          <wp:simplePos x="0" y="0"/>
          <wp:positionH relativeFrom="page">
            <wp:posOffset>428244</wp:posOffset>
          </wp:positionH>
          <wp:positionV relativeFrom="page">
            <wp:posOffset>143256</wp:posOffset>
          </wp:positionV>
          <wp:extent cx="3822192" cy="742188"/>
          <wp:effectExtent l="0" t="0" r="0" b="0"/>
          <wp:wrapSquare wrapText="bothSides"/>
          <wp:docPr id="221431915" name="Picture 221431915"/>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3822192" cy="742188"/>
                  </a:xfrm>
                  <a:prstGeom prst="rect">
                    <a:avLst/>
                  </a:prstGeom>
                </pic:spPr>
              </pic:pic>
            </a:graphicData>
          </a:graphic>
        </wp:anchor>
      </w:drawing>
    </w:r>
    <w:r>
      <w:rPr>
        <w:b/>
        <w:color w:val="A6A6A6"/>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9B5A" w14:textId="43AE361F" w:rsidR="00FE4484" w:rsidRDefault="00790BBE" w:rsidP="00122A9E">
    <w:pPr>
      <w:tabs>
        <w:tab w:val="left" w:pos="2895"/>
        <w:tab w:val="right" w:pos="10279"/>
      </w:tabs>
      <w:spacing w:before="60" w:after="180" w:line="259" w:lineRule="auto"/>
      <w:ind w:left="0" w:right="0" w:firstLine="0"/>
      <w:jc w:val="left"/>
    </w:pPr>
    <w:r>
      <w:rPr>
        <w:b/>
        <w:color w:val="A6A6A6"/>
        <w:sz w:val="32"/>
      </w:rPr>
      <w:tab/>
    </w:r>
    <w:r>
      <w:rPr>
        <w:b/>
        <w:color w:val="A6A6A6"/>
        <w:sz w:val="32"/>
      </w:rPr>
      <w:tab/>
    </w:r>
    <w:r w:rsidR="00FE4484">
      <w:rPr>
        <w:b/>
        <w:color w:val="A6A6A6"/>
        <w:sz w:val="32"/>
      </w:rPr>
      <w:t xml:space="preserve"> </w:t>
    </w:r>
    <w:r>
      <w:rPr>
        <w:noProof/>
      </w:rPr>
      <w:drawing>
        <wp:inline distT="0" distB="0" distL="0" distR="0" wp14:anchorId="6C2A22AD" wp14:editId="0E11E3C5">
          <wp:extent cx="1247775" cy="683332"/>
          <wp:effectExtent l="0" t="0" r="0" b="2540"/>
          <wp:docPr id="872150307" name="Picture 87215030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4592" cy="6870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0C9A" w14:textId="762092E3" w:rsidR="00FE4484" w:rsidRDefault="00FE4484" w:rsidP="00122A9E">
    <w:pPr>
      <w:spacing w:before="180" w:after="0" w:line="259" w:lineRule="auto"/>
      <w:ind w:left="0" w:right="0" w:firstLine="0"/>
      <w:jc w:val="right"/>
    </w:pPr>
    <w:r>
      <w:rPr>
        <w:b/>
        <w:color w:val="A6A6A6"/>
        <w:sz w:val="32"/>
      </w:rPr>
      <w:t xml:space="preserve"> </w:t>
    </w:r>
    <w:r w:rsidR="00DD706B">
      <w:rPr>
        <w:noProof/>
      </w:rPr>
      <w:drawing>
        <wp:inline distT="0" distB="0" distL="0" distR="0" wp14:anchorId="6D696BC4" wp14:editId="00583891">
          <wp:extent cx="1686079" cy="923365"/>
          <wp:effectExtent l="0" t="0" r="3175" b="3810"/>
          <wp:docPr id="1521971590" name="Picture 152197159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6079" cy="9233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71015"/>
    <w:multiLevelType w:val="hybridMultilevel"/>
    <w:tmpl w:val="75F2639C"/>
    <w:lvl w:ilvl="0" w:tplc="B6B6D8DC">
      <w:start w:val="1"/>
      <w:numFmt w:val="bullet"/>
      <w:lvlText w:val="•"/>
      <w:lvlJc w:val="left"/>
      <w:pPr>
        <w:ind w:left="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9A9808">
      <w:start w:val="1"/>
      <w:numFmt w:val="bullet"/>
      <w:lvlText w:val="o"/>
      <w:lvlJc w:val="left"/>
      <w:pPr>
        <w:ind w:left="1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2CE25E">
      <w:start w:val="1"/>
      <w:numFmt w:val="bullet"/>
      <w:lvlText w:val="▪"/>
      <w:lvlJc w:val="left"/>
      <w:pPr>
        <w:ind w:left="19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9AFCC4">
      <w:start w:val="1"/>
      <w:numFmt w:val="bullet"/>
      <w:lvlText w:val="•"/>
      <w:lvlJc w:val="left"/>
      <w:pPr>
        <w:ind w:left="2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E0B49A">
      <w:start w:val="1"/>
      <w:numFmt w:val="bullet"/>
      <w:lvlText w:val="o"/>
      <w:lvlJc w:val="left"/>
      <w:pPr>
        <w:ind w:left="33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16B1FE">
      <w:start w:val="1"/>
      <w:numFmt w:val="bullet"/>
      <w:lvlText w:val="▪"/>
      <w:lvlJc w:val="left"/>
      <w:pPr>
        <w:ind w:left="40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B0E392">
      <w:start w:val="1"/>
      <w:numFmt w:val="bullet"/>
      <w:lvlText w:val="•"/>
      <w:lvlJc w:val="left"/>
      <w:pPr>
        <w:ind w:left="4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60430A">
      <w:start w:val="1"/>
      <w:numFmt w:val="bullet"/>
      <w:lvlText w:val="o"/>
      <w:lvlJc w:val="left"/>
      <w:pPr>
        <w:ind w:left="5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826B10">
      <w:start w:val="1"/>
      <w:numFmt w:val="bullet"/>
      <w:lvlText w:val="▪"/>
      <w:lvlJc w:val="left"/>
      <w:pPr>
        <w:ind w:left="62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220D9B"/>
    <w:multiLevelType w:val="hybridMultilevel"/>
    <w:tmpl w:val="6E8A39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E517E0"/>
    <w:multiLevelType w:val="hybridMultilevel"/>
    <w:tmpl w:val="32EA8E0A"/>
    <w:lvl w:ilvl="0" w:tplc="7D0829B6">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340FB6">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70D35E">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E2B3E6">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E82F82">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1E2F6C">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7EDB8E">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D441C6">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9EA03A">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1EC3C83"/>
    <w:multiLevelType w:val="hybridMultilevel"/>
    <w:tmpl w:val="62C47CF4"/>
    <w:lvl w:ilvl="0" w:tplc="27E4B494">
      <w:start w:val="1"/>
      <w:numFmt w:val="bullet"/>
      <w:lvlText w:val="•"/>
      <w:lvlJc w:val="left"/>
      <w:pPr>
        <w:ind w:left="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F6EC06">
      <w:start w:val="1"/>
      <w:numFmt w:val="bullet"/>
      <w:lvlText w:val="o"/>
      <w:lvlJc w:val="left"/>
      <w:pPr>
        <w:ind w:left="1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B656CA">
      <w:start w:val="1"/>
      <w:numFmt w:val="bullet"/>
      <w:lvlText w:val="▪"/>
      <w:lvlJc w:val="left"/>
      <w:pPr>
        <w:ind w:left="19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748676">
      <w:start w:val="1"/>
      <w:numFmt w:val="bullet"/>
      <w:lvlText w:val="•"/>
      <w:lvlJc w:val="left"/>
      <w:pPr>
        <w:ind w:left="2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0689F0">
      <w:start w:val="1"/>
      <w:numFmt w:val="bullet"/>
      <w:lvlText w:val="o"/>
      <w:lvlJc w:val="left"/>
      <w:pPr>
        <w:ind w:left="33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70E36C">
      <w:start w:val="1"/>
      <w:numFmt w:val="bullet"/>
      <w:lvlText w:val="▪"/>
      <w:lvlJc w:val="left"/>
      <w:pPr>
        <w:ind w:left="40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B637AC">
      <w:start w:val="1"/>
      <w:numFmt w:val="bullet"/>
      <w:lvlText w:val="•"/>
      <w:lvlJc w:val="left"/>
      <w:pPr>
        <w:ind w:left="4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9C4578">
      <w:start w:val="1"/>
      <w:numFmt w:val="bullet"/>
      <w:lvlText w:val="o"/>
      <w:lvlJc w:val="left"/>
      <w:pPr>
        <w:ind w:left="5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C47014">
      <w:start w:val="1"/>
      <w:numFmt w:val="bullet"/>
      <w:lvlText w:val="▪"/>
      <w:lvlJc w:val="left"/>
      <w:pPr>
        <w:ind w:left="62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00D421D"/>
    <w:multiLevelType w:val="hybridMultilevel"/>
    <w:tmpl w:val="2EB8C5D2"/>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5" w15:restartNumberingAfterBreak="0">
    <w:nsid w:val="617339C5"/>
    <w:multiLevelType w:val="hybridMultilevel"/>
    <w:tmpl w:val="DB8404AC"/>
    <w:lvl w:ilvl="0" w:tplc="72303078">
      <w:start w:val="1"/>
      <w:numFmt w:val="bullet"/>
      <w:lvlText w:val="•"/>
      <w:lvlJc w:val="left"/>
      <w:pPr>
        <w:ind w:left="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C805BA">
      <w:start w:val="1"/>
      <w:numFmt w:val="bullet"/>
      <w:lvlText w:val="o"/>
      <w:lvlJc w:val="left"/>
      <w:pPr>
        <w:ind w:left="1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5CF0C8">
      <w:start w:val="1"/>
      <w:numFmt w:val="bullet"/>
      <w:lvlText w:val="▪"/>
      <w:lvlJc w:val="left"/>
      <w:pPr>
        <w:ind w:left="19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18D51C">
      <w:start w:val="1"/>
      <w:numFmt w:val="bullet"/>
      <w:lvlText w:val="•"/>
      <w:lvlJc w:val="left"/>
      <w:pPr>
        <w:ind w:left="2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AA8D06">
      <w:start w:val="1"/>
      <w:numFmt w:val="bullet"/>
      <w:lvlText w:val="o"/>
      <w:lvlJc w:val="left"/>
      <w:pPr>
        <w:ind w:left="33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D4D8A0">
      <w:start w:val="1"/>
      <w:numFmt w:val="bullet"/>
      <w:lvlText w:val="▪"/>
      <w:lvlJc w:val="left"/>
      <w:pPr>
        <w:ind w:left="40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905656">
      <w:start w:val="1"/>
      <w:numFmt w:val="bullet"/>
      <w:lvlText w:val="•"/>
      <w:lvlJc w:val="left"/>
      <w:pPr>
        <w:ind w:left="4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323928">
      <w:start w:val="1"/>
      <w:numFmt w:val="bullet"/>
      <w:lvlText w:val="o"/>
      <w:lvlJc w:val="left"/>
      <w:pPr>
        <w:ind w:left="5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EA60E8">
      <w:start w:val="1"/>
      <w:numFmt w:val="bullet"/>
      <w:lvlText w:val="▪"/>
      <w:lvlJc w:val="left"/>
      <w:pPr>
        <w:ind w:left="62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841453F"/>
    <w:multiLevelType w:val="hybridMultilevel"/>
    <w:tmpl w:val="04580FEC"/>
    <w:lvl w:ilvl="0" w:tplc="F69EBE3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8673D4">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62836C">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8C5EEE">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E4636A">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60F12E">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F67352">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A819FE">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6E5C72">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D5E7576"/>
    <w:multiLevelType w:val="hybridMultilevel"/>
    <w:tmpl w:val="F612BD8E"/>
    <w:lvl w:ilvl="0" w:tplc="7D34A6C2">
      <w:start w:val="1"/>
      <w:numFmt w:val="bullet"/>
      <w:lvlText w:val=""/>
      <w:lvlJc w:val="left"/>
      <w:pPr>
        <w:ind w:left="8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F4E9178">
      <w:start w:val="1"/>
      <w:numFmt w:val="bullet"/>
      <w:lvlText w:val="o"/>
      <w:lvlJc w:val="left"/>
      <w:pPr>
        <w:ind w:left="16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22C0E06">
      <w:start w:val="1"/>
      <w:numFmt w:val="bullet"/>
      <w:lvlText w:val="▪"/>
      <w:lvlJc w:val="left"/>
      <w:pPr>
        <w:ind w:left="23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420C830">
      <w:start w:val="1"/>
      <w:numFmt w:val="bullet"/>
      <w:lvlText w:val="•"/>
      <w:lvlJc w:val="left"/>
      <w:pPr>
        <w:ind w:left="31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7905A3A">
      <w:start w:val="1"/>
      <w:numFmt w:val="bullet"/>
      <w:lvlText w:val="o"/>
      <w:lvlJc w:val="left"/>
      <w:pPr>
        <w:ind w:left="38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BD00B5C">
      <w:start w:val="1"/>
      <w:numFmt w:val="bullet"/>
      <w:lvlText w:val="▪"/>
      <w:lvlJc w:val="left"/>
      <w:pPr>
        <w:ind w:left="45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6820AD4">
      <w:start w:val="1"/>
      <w:numFmt w:val="bullet"/>
      <w:lvlText w:val="•"/>
      <w:lvlJc w:val="left"/>
      <w:pPr>
        <w:ind w:left="52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9EE9A88">
      <w:start w:val="1"/>
      <w:numFmt w:val="bullet"/>
      <w:lvlText w:val="o"/>
      <w:lvlJc w:val="left"/>
      <w:pPr>
        <w:ind w:left="59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5961CC4">
      <w:start w:val="1"/>
      <w:numFmt w:val="bullet"/>
      <w:lvlText w:val="▪"/>
      <w:lvlJc w:val="left"/>
      <w:pPr>
        <w:ind w:left="67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DFA4DDF"/>
    <w:multiLevelType w:val="hybridMultilevel"/>
    <w:tmpl w:val="2E70E372"/>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9" w15:restartNumberingAfterBreak="0">
    <w:nsid w:val="704A19C6"/>
    <w:multiLevelType w:val="hybridMultilevel"/>
    <w:tmpl w:val="135AB306"/>
    <w:lvl w:ilvl="0" w:tplc="8B0234E2">
      <w:start w:val="1"/>
      <w:numFmt w:val="bullet"/>
      <w:lvlText w:val=""/>
      <w:lvlJc w:val="left"/>
      <w:pPr>
        <w:ind w:left="8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24EDD0C">
      <w:start w:val="1"/>
      <w:numFmt w:val="bullet"/>
      <w:lvlText w:val="o"/>
      <w:lvlJc w:val="left"/>
      <w:pPr>
        <w:ind w:left="16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7EC9CC6">
      <w:start w:val="1"/>
      <w:numFmt w:val="bullet"/>
      <w:lvlText w:val="▪"/>
      <w:lvlJc w:val="left"/>
      <w:pPr>
        <w:ind w:left="24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86C5FE4">
      <w:start w:val="1"/>
      <w:numFmt w:val="bullet"/>
      <w:lvlText w:val="•"/>
      <w:lvlJc w:val="left"/>
      <w:pPr>
        <w:ind w:left="31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A72A4AE">
      <w:start w:val="1"/>
      <w:numFmt w:val="bullet"/>
      <w:lvlText w:val="o"/>
      <w:lvlJc w:val="left"/>
      <w:pPr>
        <w:ind w:left="38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DAEA1B8">
      <w:start w:val="1"/>
      <w:numFmt w:val="bullet"/>
      <w:lvlText w:val="▪"/>
      <w:lvlJc w:val="left"/>
      <w:pPr>
        <w:ind w:left="45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D94AA50">
      <w:start w:val="1"/>
      <w:numFmt w:val="bullet"/>
      <w:lvlText w:val="•"/>
      <w:lvlJc w:val="left"/>
      <w:pPr>
        <w:ind w:left="52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43EF2FA">
      <w:start w:val="1"/>
      <w:numFmt w:val="bullet"/>
      <w:lvlText w:val="o"/>
      <w:lvlJc w:val="left"/>
      <w:pPr>
        <w:ind w:left="60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B94468E">
      <w:start w:val="1"/>
      <w:numFmt w:val="bullet"/>
      <w:lvlText w:val="▪"/>
      <w:lvlJc w:val="left"/>
      <w:pPr>
        <w:ind w:left="67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7344E4B"/>
    <w:multiLevelType w:val="hybridMultilevel"/>
    <w:tmpl w:val="B45010B2"/>
    <w:lvl w:ilvl="0" w:tplc="E4E4BD40">
      <w:start w:val="1"/>
      <w:numFmt w:val="bullet"/>
      <w:lvlText w:val=""/>
      <w:lvlJc w:val="left"/>
      <w:pPr>
        <w:ind w:left="1020" w:hanging="360"/>
      </w:pPr>
      <w:rPr>
        <w:rFonts w:ascii="Symbol" w:hAnsi="Symbol"/>
      </w:rPr>
    </w:lvl>
    <w:lvl w:ilvl="1" w:tplc="EE0AAA98">
      <w:start w:val="1"/>
      <w:numFmt w:val="bullet"/>
      <w:lvlText w:val=""/>
      <w:lvlJc w:val="left"/>
      <w:pPr>
        <w:ind w:left="1020" w:hanging="360"/>
      </w:pPr>
      <w:rPr>
        <w:rFonts w:ascii="Symbol" w:hAnsi="Symbol"/>
      </w:rPr>
    </w:lvl>
    <w:lvl w:ilvl="2" w:tplc="0CDEEC60">
      <w:start w:val="1"/>
      <w:numFmt w:val="bullet"/>
      <w:lvlText w:val=""/>
      <w:lvlJc w:val="left"/>
      <w:pPr>
        <w:ind w:left="1020" w:hanging="360"/>
      </w:pPr>
      <w:rPr>
        <w:rFonts w:ascii="Symbol" w:hAnsi="Symbol"/>
      </w:rPr>
    </w:lvl>
    <w:lvl w:ilvl="3" w:tplc="E67CC546">
      <w:start w:val="1"/>
      <w:numFmt w:val="bullet"/>
      <w:lvlText w:val=""/>
      <w:lvlJc w:val="left"/>
      <w:pPr>
        <w:ind w:left="1020" w:hanging="360"/>
      </w:pPr>
      <w:rPr>
        <w:rFonts w:ascii="Symbol" w:hAnsi="Symbol"/>
      </w:rPr>
    </w:lvl>
    <w:lvl w:ilvl="4" w:tplc="A5CE4AF6">
      <w:start w:val="1"/>
      <w:numFmt w:val="bullet"/>
      <w:lvlText w:val=""/>
      <w:lvlJc w:val="left"/>
      <w:pPr>
        <w:ind w:left="1020" w:hanging="360"/>
      </w:pPr>
      <w:rPr>
        <w:rFonts w:ascii="Symbol" w:hAnsi="Symbol"/>
      </w:rPr>
    </w:lvl>
    <w:lvl w:ilvl="5" w:tplc="176877E0">
      <w:start w:val="1"/>
      <w:numFmt w:val="bullet"/>
      <w:lvlText w:val=""/>
      <w:lvlJc w:val="left"/>
      <w:pPr>
        <w:ind w:left="1020" w:hanging="360"/>
      </w:pPr>
      <w:rPr>
        <w:rFonts w:ascii="Symbol" w:hAnsi="Symbol"/>
      </w:rPr>
    </w:lvl>
    <w:lvl w:ilvl="6" w:tplc="2DFEBB68">
      <w:start w:val="1"/>
      <w:numFmt w:val="bullet"/>
      <w:lvlText w:val=""/>
      <w:lvlJc w:val="left"/>
      <w:pPr>
        <w:ind w:left="1020" w:hanging="360"/>
      </w:pPr>
      <w:rPr>
        <w:rFonts w:ascii="Symbol" w:hAnsi="Symbol"/>
      </w:rPr>
    </w:lvl>
    <w:lvl w:ilvl="7" w:tplc="2938D67A">
      <w:start w:val="1"/>
      <w:numFmt w:val="bullet"/>
      <w:lvlText w:val=""/>
      <w:lvlJc w:val="left"/>
      <w:pPr>
        <w:ind w:left="1020" w:hanging="360"/>
      </w:pPr>
      <w:rPr>
        <w:rFonts w:ascii="Symbol" w:hAnsi="Symbol"/>
      </w:rPr>
    </w:lvl>
    <w:lvl w:ilvl="8" w:tplc="A998BDEC">
      <w:start w:val="1"/>
      <w:numFmt w:val="bullet"/>
      <w:lvlText w:val=""/>
      <w:lvlJc w:val="left"/>
      <w:pPr>
        <w:ind w:left="1020" w:hanging="360"/>
      </w:pPr>
      <w:rPr>
        <w:rFonts w:ascii="Symbol" w:hAnsi="Symbol"/>
      </w:rPr>
    </w:lvl>
  </w:abstractNum>
  <w:num w:numId="1" w16cid:durableId="1103573719">
    <w:abstractNumId w:val="5"/>
  </w:num>
  <w:num w:numId="2" w16cid:durableId="788931732">
    <w:abstractNumId w:val="2"/>
  </w:num>
  <w:num w:numId="3" w16cid:durableId="1710453443">
    <w:abstractNumId w:val="3"/>
  </w:num>
  <w:num w:numId="4" w16cid:durableId="269433267">
    <w:abstractNumId w:val="0"/>
  </w:num>
  <w:num w:numId="5" w16cid:durableId="1259489522">
    <w:abstractNumId w:val="6"/>
  </w:num>
  <w:num w:numId="6" w16cid:durableId="619916321">
    <w:abstractNumId w:val="7"/>
  </w:num>
  <w:num w:numId="7" w16cid:durableId="1216233287">
    <w:abstractNumId w:val="9"/>
  </w:num>
  <w:num w:numId="8" w16cid:durableId="1984921218">
    <w:abstractNumId w:val="1"/>
  </w:num>
  <w:num w:numId="9" w16cid:durableId="1327323187">
    <w:abstractNumId w:val="4"/>
  </w:num>
  <w:num w:numId="10" w16cid:durableId="1778940449">
    <w:abstractNumId w:val="6"/>
  </w:num>
  <w:num w:numId="11" w16cid:durableId="1319531089">
    <w:abstractNumId w:val="8"/>
  </w:num>
  <w:num w:numId="12" w16cid:durableId="131079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0F1"/>
    <w:rsid w:val="00003614"/>
    <w:rsid w:val="00003D16"/>
    <w:rsid w:val="000233E8"/>
    <w:rsid w:val="00027928"/>
    <w:rsid w:val="000360F1"/>
    <w:rsid w:val="00040D33"/>
    <w:rsid w:val="0006519C"/>
    <w:rsid w:val="00072248"/>
    <w:rsid w:val="00076585"/>
    <w:rsid w:val="00080637"/>
    <w:rsid w:val="00084C87"/>
    <w:rsid w:val="000C1169"/>
    <w:rsid w:val="000D3805"/>
    <w:rsid w:val="000F47AB"/>
    <w:rsid w:val="00120DC9"/>
    <w:rsid w:val="00122A9E"/>
    <w:rsid w:val="001248FA"/>
    <w:rsid w:val="00152CA7"/>
    <w:rsid w:val="0015339F"/>
    <w:rsid w:val="0016566E"/>
    <w:rsid w:val="0018137D"/>
    <w:rsid w:val="001A0E8E"/>
    <w:rsid w:val="001A5F19"/>
    <w:rsid w:val="001B55D3"/>
    <w:rsid w:val="001C78CB"/>
    <w:rsid w:val="001E1360"/>
    <w:rsid w:val="001E155A"/>
    <w:rsid w:val="001E46C9"/>
    <w:rsid w:val="001F017C"/>
    <w:rsid w:val="001F13EB"/>
    <w:rsid w:val="002009C6"/>
    <w:rsid w:val="00201886"/>
    <w:rsid w:val="00213D91"/>
    <w:rsid w:val="00220C10"/>
    <w:rsid w:val="00224376"/>
    <w:rsid w:val="00250243"/>
    <w:rsid w:val="00284EF3"/>
    <w:rsid w:val="002935EF"/>
    <w:rsid w:val="00295F8D"/>
    <w:rsid w:val="002A0C4A"/>
    <w:rsid w:val="002B05FF"/>
    <w:rsid w:val="002B6663"/>
    <w:rsid w:val="002D6061"/>
    <w:rsid w:val="002E79B3"/>
    <w:rsid w:val="002F3F8F"/>
    <w:rsid w:val="002F5494"/>
    <w:rsid w:val="00307BCB"/>
    <w:rsid w:val="003173A9"/>
    <w:rsid w:val="003371BA"/>
    <w:rsid w:val="003407BD"/>
    <w:rsid w:val="0035018D"/>
    <w:rsid w:val="0035086F"/>
    <w:rsid w:val="0036771A"/>
    <w:rsid w:val="00386201"/>
    <w:rsid w:val="003A568A"/>
    <w:rsid w:val="003A7C75"/>
    <w:rsid w:val="003C4F0B"/>
    <w:rsid w:val="003D1480"/>
    <w:rsid w:val="003D4FE4"/>
    <w:rsid w:val="003E701C"/>
    <w:rsid w:val="003F3F10"/>
    <w:rsid w:val="004041A1"/>
    <w:rsid w:val="00421B92"/>
    <w:rsid w:val="004260EF"/>
    <w:rsid w:val="004318A9"/>
    <w:rsid w:val="00447612"/>
    <w:rsid w:val="0047006C"/>
    <w:rsid w:val="00476ACC"/>
    <w:rsid w:val="00480C54"/>
    <w:rsid w:val="00481642"/>
    <w:rsid w:val="00487299"/>
    <w:rsid w:val="00497944"/>
    <w:rsid w:val="004A09F7"/>
    <w:rsid w:val="004C35F9"/>
    <w:rsid w:val="004D4274"/>
    <w:rsid w:val="004D5C1F"/>
    <w:rsid w:val="004E4C86"/>
    <w:rsid w:val="004E5A6B"/>
    <w:rsid w:val="004F67C3"/>
    <w:rsid w:val="0050374A"/>
    <w:rsid w:val="00504633"/>
    <w:rsid w:val="00505322"/>
    <w:rsid w:val="005132F0"/>
    <w:rsid w:val="00545D9F"/>
    <w:rsid w:val="00562C04"/>
    <w:rsid w:val="00563D9C"/>
    <w:rsid w:val="00570E81"/>
    <w:rsid w:val="005720AB"/>
    <w:rsid w:val="00581152"/>
    <w:rsid w:val="005826CC"/>
    <w:rsid w:val="005B1FB7"/>
    <w:rsid w:val="005C5F13"/>
    <w:rsid w:val="005D3E8B"/>
    <w:rsid w:val="005D4CDD"/>
    <w:rsid w:val="005D7100"/>
    <w:rsid w:val="005E19AA"/>
    <w:rsid w:val="0060594D"/>
    <w:rsid w:val="00633D5D"/>
    <w:rsid w:val="0065688B"/>
    <w:rsid w:val="00692896"/>
    <w:rsid w:val="006A18AB"/>
    <w:rsid w:val="006E09A3"/>
    <w:rsid w:val="0070010E"/>
    <w:rsid w:val="00705665"/>
    <w:rsid w:val="0071578D"/>
    <w:rsid w:val="00756010"/>
    <w:rsid w:val="0076698C"/>
    <w:rsid w:val="00770E8D"/>
    <w:rsid w:val="00790BBE"/>
    <w:rsid w:val="007962C8"/>
    <w:rsid w:val="007A1699"/>
    <w:rsid w:val="007A425F"/>
    <w:rsid w:val="007A7AD1"/>
    <w:rsid w:val="007B378F"/>
    <w:rsid w:val="007B4B8E"/>
    <w:rsid w:val="007D06A0"/>
    <w:rsid w:val="007D62A0"/>
    <w:rsid w:val="007E566B"/>
    <w:rsid w:val="007F00C3"/>
    <w:rsid w:val="007F35DF"/>
    <w:rsid w:val="008027D5"/>
    <w:rsid w:val="00804D52"/>
    <w:rsid w:val="008070BC"/>
    <w:rsid w:val="00832B66"/>
    <w:rsid w:val="008344AB"/>
    <w:rsid w:val="00837327"/>
    <w:rsid w:val="00842A8A"/>
    <w:rsid w:val="00854803"/>
    <w:rsid w:val="00865CFE"/>
    <w:rsid w:val="008734D1"/>
    <w:rsid w:val="00885C1A"/>
    <w:rsid w:val="008C2264"/>
    <w:rsid w:val="008C33FE"/>
    <w:rsid w:val="00926722"/>
    <w:rsid w:val="009369D5"/>
    <w:rsid w:val="00942826"/>
    <w:rsid w:val="009442D6"/>
    <w:rsid w:val="009513DC"/>
    <w:rsid w:val="0095708D"/>
    <w:rsid w:val="009726F8"/>
    <w:rsid w:val="00985F99"/>
    <w:rsid w:val="009A4838"/>
    <w:rsid w:val="009C0BED"/>
    <w:rsid w:val="009D63EB"/>
    <w:rsid w:val="009E7038"/>
    <w:rsid w:val="009F6BE5"/>
    <w:rsid w:val="00A2599C"/>
    <w:rsid w:val="00A70192"/>
    <w:rsid w:val="00A746AA"/>
    <w:rsid w:val="00A82830"/>
    <w:rsid w:val="00AC1D0E"/>
    <w:rsid w:val="00AC2D8B"/>
    <w:rsid w:val="00AC340F"/>
    <w:rsid w:val="00AC39F0"/>
    <w:rsid w:val="00AC61BA"/>
    <w:rsid w:val="00AD0CCC"/>
    <w:rsid w:val="00AE2D25"/>
    <w:rsid w:val="00B34A49"/>
    <w:rsid w:val="00B34FF7"/>
    <w:rsid w:val="00B358F4"/>
    <w:rsid w:val="00B512BB"/>
    <w:rsid w:val="00B54F68"/>
    <w:rsid w:val="00B66C72"/>
    <w:rsid w:val="00B6751F"/>
    <w:rsid w:val="00B76C34"/>
    <w:rsid w:val="00B77B2E"/>
    <w:rsid w:val="00B92C1D"/>
    <w:rsid w:val="00B953C1"/>
    <w:rsid w:val="00BA315E"/>
    <w:rsid w:val="00BD1FCA"/>
    <w:rsid w:val="00BD38FB"/>
    <w:rsid w:val="00BE38BF"/>
    <w:rsid w:val="00C02808"/>
    <w:rsid w:val="00C13D28"/>
    <w:rsid w:val="00C13E35"/>
    <w:rsid w:val="00C16E1E"/>
    <w:rsid w:val="00C222A6"/>
    <w:rsid w:val="00C26635"/>
    <w:rsid w:val="00C3714E"/>
    <w:rsid w:val="00C62984"/>
    <w:rsid w:val="00C63507"/>
    <w:rsid w:val="00C744B8"/>
    <w:rsid w:val="00C951BD"/>
    <w:rsid w:val="00C97201"/>
    <w:rsid w:val="00C97D34"/>
    <w:rsid w:val="00CB0478"/>
    <w:rsid w:val="00CB7B86"/>
    <w:rsid w:val="00CC4301"/>
    <w:rsid w:val="00CC7A30"/>
    <w:rsid w:val="00CD2F43"/>
    <w:rsid w:val="00CE0955"/>
    <w:rsid w:val="00CE5262"/>
    <w:rsid w:val="00D0451C"/>
    <w:rsid w:val="00D06C2A"/>
    <w:rsid w:val="00D11938"/>
    <w:rsid w:val="00D12ACA"/>
    <w:rsid w:val="00D22C52"/>
    <w:rsid w:val="00D33C59"/>
    <w:rsid w:val="00D7038B"/>
    <w:rsid w:val="00D70D07"/>
    <w:rsid w:val="00D7272D"/>
    <w:rsid w:val="00D74B30"/>
    <w:rsid w:val="00D75E3D"/>
    <w:rsid w:val="00D904EA"/>
    <w:rsid w:val="00D94660"/>
    <w:rsid w:val="00D96771"/>
    <w:rsid w:val="00DB7CFA"/>
    <w:rsid w:val="00DC4033"/>
    <w:rsid w:val="00DC4CE5"/>
    <w:rsid w:val="00DD706B"/>
    <w:rsid w:val="00DE0A74"/>
    <w:rsid w:val="00E046AF"/>
    <w:rsid w:val="00E07109"/>
    <w:rsid w:val="00E12FAD"/>
    <w:rsid w:val="00E16D3A"/>
    <w:rsid w:val="00E23AD9"/>
    <w:rsid w:val="00E33DFA"/>
    <w:rsid w:val="00E60FD7"/>
    <w:rsid w:val="00E70EC5"/>
    <w:rsid w:val="00E71E27"/>
    <w:rsid w:val="00E91A06"/>
    <w:rsid w:val="00E95A9F"/>
    <w:rsid w:val="00EA1656"/>
    <w:rsid w:val="00EC73BA"/>
    <w:rsid w:val="00ED3A05"/>
    <w:rsid w:val="00F01962"/>
    <w:rsid w:val="00F21D63"/>
    <w:rsid w:val="00F74C21"/>
    <w:rsid w:val="00F909C5"/>
    <w:rsid w:val="00F92280"/>
    <w:rsid w:val="00F94D00"/>
    <w:rsid w:val="00FA4170"/>
    <w:rsid w:val="00FC0BE9"/>
    <w:rsid w:val="00FC4FC8"/>
    <w:rsid w:val="00FE4484"/>
    <w:rsid w:val="00FE6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3717B"/>
  <w15:docId w15:val="{5688A803-F4B2-4803-8C75-20B5A16E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 w:hanging="10"/>
      <w:jc w:val="both"/>
    </w:pPr>
    <w:rPr>
      <w:rFonts w:ascii="Arial" w:eastAsia="Arial" w:hAnsi="Arial" w:cs="Arial"/>
      <w:color w:val="000000"/>
    </w:rPr>
  </w:style>
  <w:style w:type="paragraph" w:styleId="Heading1">
    <w:name w:val="heading 1"/>
    <w:basedOn w:val="Normal"/>
    <w:link w:val="Heading1Char"/>
    <w:uiPriority w:val="9"/>
    <w:qFormat/>
    <w:rsid w:val="00E60FD7"/>
    <w:pPr>
      <w:spacing w:before="100" w:beforeAutospacing="1" w:after="100" w:afterAutospacing="1" w:line="240" w:lineRule="auto"/>
      <w:ind w:left="0" w:right="0" w:firstLine="0"/>
      <w:jc w:val="left"/>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E0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9A3"/>
    <w:rPr>
      <w:rFonts w:ascii="Segoe UI" w:eastAsia="Arial" w:hAnsi="Segoe UI" w:cs="Segoe UI"/>
      <w:color w:val="000000"/>
      <w:sz w:val="18"/>
      <w:szCs w:val="18"/>
    </w:rPr>
  </w:style>
  <w:style w:type="paragraph" w:styleId="FootnoteText">
    <w:name w:val="footnote text"/>
    <w:basedOn w:val="Normal"/>
    <w:link w:val="FootnoteTextChar"/>
    <w:uiPriority w:val="99"/>
    <w:semiHidden/>
    <w:unhideWhenUsed/>
    <w:rsid w:val="004C35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5F9"/>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4C35F9"/>
    <w:rPr>
      <w:vertAlign w:val="superscript"/>
    </w:rPr>
  </w:style>
  <w:style w:type="paragraph" w:styleId="ListParagraph">
    <w:name w:val="List Paragraph"/>
    <w:basedOn w:val="Normal"/>
    <w:uiPriority w:val="34"/>
    <w:qFormat/>
    <w:rsid w:val="00E91A06"/>
    <w:pPr>
      <w:ind w:left="720"/>
      <w:contextualSpacing/>
    </w:pPr>
  </w:style>
  <w:style w:type="character" w:styleId="CommentReference">
    <w:name w:val="annotation reference"/>
    <w:basedOn w:val="DefaultParagraphFont"/>
    <w:uiPriority w:val="99"/>
    <w:semiHidden/>
    <w:unhideWhenUsed/>
    <w:rsid w:val="0050374A"/>
    <w:rPr>
      <w:sz w:val="16"/>
      <w:szCs w:val="16"/>
    </w:rPr>
  </w:style>
  <w:style w:type="paragraph" w:styleId="CommentText">
    <w:name w:val="annotation text"/>
    <w:basedOn w:val="Normal"/>
    <w:link w:val="CommentTextChar"/>
    <w:uiPriority w:val="99"/>
    <w:unhideWhenUsed/>
    <w:rsid w:val="0050374A"/>
    <w:pPr>
      <w:spacing w:line="240" w:lineRule="auto"/>
    </w:pPr>
    <w:rPr>
      <w:sz w:val="20"/>
      <w:szCs w:val="20"/>
    </w:rPr>
  </w:style>
  <w:style w:type="character" w:customStyle="1" w:styleId="CommentTextChar">
    <w:name w:val="Comment Text Char"/>
    <w:basedOn w:val="DefaultParagraphFont"/>
    <w:link w:val="CommentText"/>
    <w:uiPriority w:val="99"/>
    <w:rsid w:val="0050374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0374A"/>
    <w:rPr>
      <w:b/>
      <w:bCs/>
    </w:rPr>
  </w:style>
  <w:style w:type="character" w:customStyle="1" w:styleId="CommentSubjectChar">
    <w:name w:val="Comment Subject Char"/>
    <w:basedOn w:val="CommentTextChar"/>
    <w:link w:val="CommentSubject"/>
    <w:uiPriority w:val="99"/>
    <w:semiHidden/>
    <w:rsid w:val="0050374A"/>
    <w:rPr>
      <w:rFonts w:ascii="Arial" w:eastAsia="Arial" w:hAnsi="Arial" w:cs="Arial"/>
      <w:b/>
      <w:bCs/>
      <w:color w:val="000000"/>
      <w:sz w:val="20"/>
      <w:szCs w:val="20"/>
    </w:rPr>
  </w:style>
  <w:style w:type="character" w:styleId="Strong">
    <w:name w:val="Strong"/>
    <w:basedOn w:val="DefaultParagraphFont"/>
    <w:uiPriority w:val="22"/>
    <w:qFormat/>
    <w:rsid w:val="0095708D"/>
    <w:rPr>
      <w:b/>
      <w:bCs/>
    </w:rPr>
  </w:style>
  <w:style w:type="character" w:styleId="Hyperlink">
    <w:name w:val="Hyperlink"/>
    <w:basedOn w:val="DefaultParagraphFont"/>
    <w:uiPriority w:val="99"/>
    <w:unhideWhenUsed/>
    <w:rsid w:val="0095708D"/>
    <w:rPr>
      <w:color w:val="0000FF"/>
      <w:u w:val="single"/>
    </w:rPr>
  </w:style>
  <w:style w:type="character" w:styleId="Emphasis">
    <w:name w:val="Emphasis"/>
    <w:basedOn w:val="DefaultParagraphFont"/>
    <w:uiPriority w:val="20"/>
    <w:qFormat/>
    <w:rsid w:val="003F3F10"/>
    <w:rPr>
      <w:i/>
      <w:iCs/>
    </w:rPr>
  </w:style>
  <w:style w:type="paragraph" w:styleId="Revision">
    <w:name w:val="Revision"/>
    <w:hidden/>
    <w:uiPriority w:val="99"/>
    <w:semiHidden/>
    <w:rsid w:val="00080637"/>
    <w:pPr>
      <w:spacing w:after="0" w:line="240" w:lineRule="auto"/>
    </w:pPr>
    <w:rPr>
      <w:rFonts w:ascii="Arial" w:eastAsia="Arial" w:hAnsi="Arial" w:cs="Arial"/>
      <w:color w:val="000000"/>
    </w:rPr>
  </w:style>
  <w:style w:type="character" w:customStyle="1" w:styleId="Heading1Char">
    <w:name w:val="Heading 1 Char"/>
    <w:basedOn w:val="DefaultParagraphFont"/>
    <w:link w:val="Heading1"/>
    <w:uiPriority w:val="9"/>
    <w:rsid w:val="00E60FD7"/>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B77B2E"/>
    <w:rPr>
      <w:color w:val="605E5C"/>
      <w:shd w:val="clear" w:color="auto" w:fill="E1DFDD"/>
    </w:rPr>
  </w:style>
  <w:style w:type="character" w:styleId="FollowedHyperlink">
    <w:name w:val="FollowedHyperlink"/>
    <w:basedOn w:val="DefaultParagraphFont"/>
    <w:uiPriority w:val="99"/>
    <w:semiHidden/>
    <w:unhideWhenUsed/>
    <w:rsid w:val="009A48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6789">
      <w:bodyDiv w:val="1"/>
      <w:marLeft w:val="0"/>
      <w:marRight w:val="0"/>
      <w:marTop w:val="0"/>
      <w:marBottom w:val="0"/>
      <w:divBdr>
        <w:top w:val="none" w:sz="0" w:space="0" w:color="auto"/>
        <w:left w:val="none" w:sz="0" w:space="0" w:color="auto"/>
        <w:bottom w:val="none" w:sz="0" w:space="0" w:color="auto"/>
        <w:right w:val="none" w:sz="0" w:space="0" w:color="auto"/>
      </w:divBdr>
    </w:div>
    <w:div w:id="1959950086">
      <w:bodyDiv w:val="1"/>
      <w:marLeft w:val="0"/>
      <w:marRight w:val="0"/>
      <w:marTop w:val="0"/>
      <w:marBottom w:val="0"/>
      <w:divBdr>
        <w:top w:val="none" w:sz="0" w:space="0" w:color="auto"/>
        <w:left w:val="none" w:sz="0" w:space="0" w:color="auto"/>
        <w:bottom w:val="none" w:sz="0" w:space="0" w:color="auto"/>
        <w:right w:val="none" w:sz="0" w:space="0" w:color="auto"/>
      </w:divBdr>
    </w:div>
    <w:div w:id="2087801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awsociety.org.uk/news/stories/government-responds-to-leasehold-reform-consultation/" TargetMode="External"/><Relationship Id="rId7" Type="http://schemas.openxmlformats.org/officeDocument/2006/relationships/hyperlink" Target="https://assets.publishing.service.gov.uk/government/uploads/system/uploads/attachment_data/file/670204/Tackling_Unfair_Practices_-_gov_response.pdf" TargetMode="External"/><Relationship Id="rId2" Type="http://schemas.openxmlformats.org/officeDocument/2006/relationships/hyperlink" Target="https://www.propertymark.co.uk/media/1043356/ntseat-guidance-on-property-sales.pdf" TargetMode="External"/><Relationship Id="rId1" Type="http://schemas.openxmlformats.org/officeDocument/2006/relationships/hyperlink" Target="https://www.openbanking.org.uk/providers/" TargetMode="External"/><Relationship Id="rId6" Type="http://schemas.openxmlformats.org/officeDocument/2006/relationships/hyperlink" Target="https://www.gov.uk/cma-cases/leasehold" TargetMode="External"/><Relationship Id="rId5" Type="http://schemas.openxmlformats.org/officeDocument/2006/relationships/hyperlink" Target="http://www.bailii.org/uk/cases/UKUT/LC/2014/59.html" TargetMode="External"/><Relationship Id="rId4" Type="http://schemas.openxmlformats.org/officeDocument/2006/relationships/hyperlink" Target="https://www.legislation.gov.uk/ukpga/2022/30/section/3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46985-B95E-4772-9A2E-8C3DD6D75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4461</Words>
  <Characters>23691</Characters>
  <Application>Microsoft Office Word</Application>
  <DocSecurity>0</DocSecurity>
  <Lines>911</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Rudolf</dc:creator>
  <cp:keywords/>
  <cp:lastModifiedBy>Bethany de Montjoie Rudolf</cp:lastModifiedBy>
  <cp:revision>2</cp:revision>
  <dcterms:created xsi:type="dcterms:W3CDTF">2025-10-30T16:35:00Z</dcterms:created>
  <dcterms:modified xsi:type="dcterms:W3CDTF">2025-10-30T16:35:00Z</dcterms:modified>
</cp:coreProperties>
</file>