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3BC2A" w14:textId="77777777" w:rsidR="00BD29DE" w:rsidRDefault="00000000" w:rsidP="00BD29DE">
      <w:pPr>
        <w:widowControl w:val="0"/>
        <w:pBdr>
          <w:top w:val="nil"/>
          <w:left w:val="nil"/>
          <w:bottom w:val="nil"/>
          <w:right w:val="nil"/>
          <w:between w:val="nil"/>
        </w:pBdr>
        <w:spacing w:after="0"/>
        <w:rPr>
          <w:rFonts w:ascii="Aptos Black" w:hAnsi="Aptos Black"/>
          <w:color w:val="7030A0"/>
          <w:sz w:val="24"/>
          <w:szCs w:val="24"/>
        </w:rPr>
      </w:pPr>
      <w:r w:rsidRPr="00BD29DE">
        <w:rPr>
          <w:rFonts w:ascii="Aptos Black" w:hAnsi="Aptos Black"/>
          <w:sz w:val="24"/>
          <w:szCs w:val="24"/>
        </w:rPr>
        <w:pict w14:anchorId="0B8E4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bookmarkStart w:id="0" w:name="_Toc215491980"/>
      <w:r w:rsidR="00F24F9B" w:rsidRPr="00BD29DE">
        <w:rPr>
          <w:rFonts w:ascii="Aptos Black" w:hAnsi="Aptos Black"/>
          <w:color w:val="7030A0"/>
          <w:sz w:val="24"/>
          <w:szCs w:val="24"/>
        </w:rPr>
        <w:t xml:space="preserve">Consultation Response: </w:t>
      </w:r>
    </w:p>
    <w:p w14:paraId="00000002" w14:textId="135F3FEA" w:rsidR="006E4CBF" w:rsidRPr="00BD29DE" w:rsidRDefault="00F24F9B" w:rsidP="00BD29DE">
      <w:pPr>
        <w:widowControl w:val="0"/>
        <w:pBdr>
          <w:top w:val="nil"/>
          <w:left w:val="nil"/>
          <w:bottom w:val="nil"/>
          <w:right w:val="nil"/>
          <w:between w:val="nil"/>
        </w:pBdr>
        <w:spacing w:after="0"/>
        <w:jc w:val="center"/>
        <w:rPr>
          <w:rFonts w:ascii="Aptos Black" w:hAnsi="Aptos Black"/>
          <w:color w:val="7030A0"/>
          <w:sz w:val="24"/>
          <w:szCs w:val="24"/>
        </w:rPr>
      </w:pPr>
      <w:r w:rsidRPr="00BD29DE">
        <w:rPr>
          <w:rFonts w:ascii="Aptos Black" w:hAnsi="Aptos Black"/>
          <w:color w:val="7030A0"/>
          <w:sz w:val="24"/>
          <w:szCs w:val="24"/>
        </w:rPr>
        <w:t>Reforming the Home Buying and Selling System</w:t>
      </w:r>
      <w:bookmarkEnd w:id="0"/>
    </w:p>
    <w:p w14:paraId="698C5858" w14:textId="77777777" w:rsidR="0030773E" w:rsidRDefault="0030773E">
      <w:pPr>
        <w:pStyle w:val="TOCHeading"/>
      </w:pPr>
      <w:r>
        <w:rPr>
          <w:lang w:val="en-GB"/>
        </w:rPr>
        <w:t>Contents</w:t>
      </w:r>
    </w:p>
    <w:p w14:paraId="48261D75" w14:textId="77777777" w:rsidR="0030773E" w:rsidRDefault="0030773E">
      <w:pPr>
        <w:pStyle w:val="TOC1"/>
        <w:tabs>
          <w:tab w:val="right" w:leader="dot" w:pos="863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15491980" w:history="1">
        <w:r w:rsidRPr="00E6403E">
          <w:rPr>
            <w:rStyle w:val="Hyperlink"/>
            <w:noProof/>
          </w:rPr>
          <w:t>Consultation Response: Reforming the Home Buying and Selling System</w:t>
        </w:r>
        <w:r>
          <w:rPr>
            <w:noProof/>
            <w:webHidden/>
          </w:rPr>
          <w:tab/>
        </w:r>
        <w:r>
          <w:rPr>
            <w:noProof/>
            <w:webHidden/>
          </w:rPr>
          <w:fldChar w:fldCharType="begin"/>
        </w:r>
        <w:r>
          <w:rPr>
            <w:noProof/>
            <w:webHidden/>
          </w:rPr>
          <w:instrText xml:space="preserve"> PAGEREF _Toc215491980 \h </w:instrText>
        </w:r>
        <w:r>
          <w:rPr>
            <w:noProof/>
            <w:webHidden/>
          </w:rPr>
        </w:r>
        <w:r>
          <w:rPr>
            <w:noProof/>
            <w:webHidden/>
          </w:rPr>
          <w:fldChar w:fldCharType="separate"/>
        </w:r>
        <w:r>
          <w:rPr>
            <w:noProof/>
            <w:webHidden/>
          </w:rPr>
          <w:t>1</w:t>
        </w:r>
        <w:r>
          <w:rPr>
            <w:noProof/>
            <w:webHidden/>
          </w:rPr>
          <w:fldChar w:fldCharType="end"/>
        </w:r>
      </w:hyperlink>
    </w:p>
    <w:p w14:paraId="7944E426" w14:textId="77777777" w:rsidR="0030773E" w:rsidRDefault="0030773E">
      <w:pPr>
        <w:pStyle w:val="TOC2"/>
        <w:tabs>
          <w:tab w:val="right" w:leader="dot" w:pos="8630"/>
        </w:tabs>
        <w:rPr>
          <w:rFonts w:cstheme="minorBidi"/>
          <w:noProof/>
          <w:kern w:val="2"/>
          <w:sz w:val="24"/>
          <w:szCs w:val="24"/>
          <w14:ligatures w14:val="standardContextual"/>
        </w:rPr>
      </w:pPr>
      <w:hyperlink w:anchor="_Toc215491981" w:history="1">
        <w:r w:rsidRPr="00E6403E">
          <w:rPr>
            <w:rStyle w:val="Hyperlink"/>
            <w:noProof/>
          </w:rPr>
          <w:t>A. About you</w:t>
        </w:r>
        <w:r>
          <w:rPr>
            <w:noProof/>
            <w:webHidden/>
          </w:rPr>
          <w:tab/>
        </w:r>
        <w:r>
          <w:rPr>
            <w:noProof/>
            <w:webHidden/>
          </w:rPr>
          <w:fldChar w:fldCharType="begin"/>
        </w:r>
        <w:r>
          <w:rPr>
            <w:noProof/>
            <w:webHidden/>
          </w:rPr>
          <w:instrText xml:space="preserve"> PAGEREF _Toc215491981 \h </w:instrText>
        </w:r>
        <w:r>
          <w:rPr>
            <w:noProof/>
            <w:webHidden/>
          </w:rPr>
        </w:r>
        <w:r>
          <w:rPr>
            <w:noProof/>
            <w:webHidden/>
          </w:rPr>
          <w:fldChar w:fldCharType="separate"/>
        </w:r>
        <w:r>
          <w:rPr>
            <w:noProof/>
            <w:webHidden/>
          </w:rPr>
          <w:t>1</w:t>
        </w:r>
        <w:r>
          <w:rPr>
            <w:noProof/>
            <w:webHidden/>
          </w:rPr>
          <w:fldChar w:fldCharType="end"/>
        </w:r>
      </w:hyperlink>
    </w:p>
    <w:p w14:paraId="62F16D0E" w14:textId="77777777" w:rsidR="0030773E" w:rsidRDefault="0030773E">
      <w:pPr>
        <w:pStyle w:val="TOC2"/>
        <w:tabs>
          <w:tab w:val="right" w:leader="dot" w:pos="8630"/>
        </w:tabs>
        <w:rPr>
          <w:rFonts w:cstheme="minorBidi"/>
          <w:noProof/>
          <w:kern w:val="2"/>
          <w:sz w:val="24"/>
          <w:szCs w:val="24"/>
          <w14:ligatures w14:val="standardContextual"/>
        </w:rPr>
      </w:pPr>
      <w:hyperlink w:anchor="_Toc215491986" w:history="1">
        <w:r w:rsidRPr="00E6403E">
          <w:rPr>
            <w:rStyle w:val="Hyperlink"/>
            <w:noProof/>
          </w:rPr>
          <w:t>B. Objectives for home buying and selling reform</w:t>
        </w:r>
        <w:r>
          <w:rPr>
            <w:noProof/>
            <w:webHidden/>
          </w:rPr>
          <w:tab/>
        </w:r>
        <w:r>
          <w:rPr>
            <w:noProof/>
            <w:webHidden/>
          </w:rPr>
          <w:fldChar w:fldCharType="begin"/>
        </w:r>
        <w:r>
          <w:rPr>
            <w:noProof/>
            <w:webHidden/>
          </w:rPr>
          <w:instrText xml:space="preserve"> PAGEREF _Toc215491986 \h </w:instrText>
        </w:r>
        <w:r>
          <w:rPr>
            <w:noProof/>
            <w:webHidden/>
          </w:rPr>
        </w:r>
        <w:r>
          <w:rPr>
            <w:noProof/>
            <w:webHidden/>
          </w:rPr>
          <w:fldChar w:fldCharType="separate"/>
        </w:r>
        <w:r>
          <w:rPr>
            <w:noProof/>
            <w:webHidden/>
          </w:rPr>
          <w:t>2</w:t>
        </w:r>
        <w:r>
          <w:rPr>
            <w:noProof/>
            <w:webHidden/>
          </w:rPr>
          <w:fldChar w:fldCharType="end"/>
        </w:r>
      </w:hyperlink>
    </w:p>
    <w:p w14:paraId="62F1979D" w14:textId="77777777" w:rsidR="0030773E" w:rsidRDefault="0030773E">
      <w:pPr>
        <w:pStyle w:val="TOC2"/>
        <w:tabs>
          <w:tab w:val="right" w:leader="dot" w:pos="8630"/>
        </w:tabs>
        <w:rPr>
          <w:rFonts w:cstheme="minorBidi"/>
          <w:noProof/>
          <w:kern w:val="2"/>
          <w:sz w:val="24"/>
          <w:szCs w:val="24"/>
          <w14:ligatures w14:val="standardContextual"/>
        </w:rPr>
      </w:pPr>
      <w:hyperlink w:anchor="_Toc215491989" w:history="1">
        <w:r w:rsidRPr="00E6403E">
          <w:rPr>
            <w:rStyle w:val="Hyperlink"/>
            <w:noProof/>
          </w:rPr>
          <w:t>C. Requiring upfront property information (UFI)</w:t>
        </w:r>
        <w:r>
          <w:rPr>
            <w:noProof/>
            <w:webHidden/>
          </w:rPr>
          <w:tab/>
        </w:r>
        <w:r>
          <w:rPr>
            <w:noProof/>
            <w:webHidden/>
          </w:rPr>
          <w:fldChar w:fldCharType="begin"/>
        </w:r>
        <w:r>
          <w:rPr>
            <w:noProof/>
            <w:webHidden/>
          </w:rPr>
          <w:instrText xml:space="preserve"> PAGEREF _Toc215491989 \h </w:instrText>
        </w:r>
        <w:r>
          <w:rPr>
            <w:noProof/>
            <w:webHidden/>
          </w:rPr>
        </w:r>
        <w:r>
          <w:rPr>
            <w:noProof/>
            <w:webHidden/>
          </w:rPr>
          <w:fldChar w:fldCharType="separate"/>
        </w:r>
        <w:r>
          <w:rPr>
            <w:noProof/>
            <w:webHidden/>
          </w:rPr>
          <w:t>3</w:t>
        </w:r>
        <w:r>
          <w:rPr>
            <w:noProof/>
            <w:webHidden/>
          </w:rPr>
          <w:fldChar w:fldCharType="end"/>
        </w:r>
      </w:hyperlink>
    </w:p>
    <w:p w14:paraId="69524098" w14:textId="77777777" w:rsidR="0030773E" w:rsidRDefault="0030773E">
      <w:pPr>
        <w:pStyle w:val="TOC2"/>
        <w:tabs>
          <w:tab w:val="right" w:leader="dot" w:pos="8630"/>
        </w:tabs>
        <w:rPr>
          <w:rFonts w:cstheme="minorBidi"/>
          <w:noProof/>
          <w:kern w:val="2"/>
          <w:sz w:val="24"/>
          <w:szCs w:val="24"/>
          <w14:ligatures w14:val="standardContextual"/>
        </w:rPr>
      </w:pPr>
      <w:hyperlink w:anchor="_Toc215491994" w:history="1">
        <w:r w:rsidRPr="00E6403E">
          <w:rPr>
            <w:rStyle w:val="Hyperlink"/>
            <w:noProof/>
          </w:rPr>
          <w:t>D. Professionalising property agents</w:t>
        </w:r>
        <w:r>
          <w:rPr>
            <w:noProof/>
            <w:webHidden/>
          </w:rPr>
          <w:tab/>
        </w:r>
        <w:r>
          <w:rPr>
            <w:noProof/>
            <w:webHidden/>
          </w:rPr>
          <w:fldChar w:fldCharType="begin"/>
        </w:r>
        <w:r>
          <w:rPr>
            <w:noProof/>
            <w:webHidden/>
          </w:rPr>
          <w:instrText xml:space="preserve"> PAGEREF _Toc215491994 \h </w:instrText>
        </w:r>
        <w:r>
          <w:rPr>
            <w:noProof/>
            <w:webHidden/>
          </w:rPr>
        </w:r>
        <w:r>
          <w:rPr>
            <w:noProof/>
            <w:webHidden/>
          </w:rPr>
          <w:fldChar w:fldCharType="separate"/>
        </w:r>
        <w:r>
          <w:rPr>
            <w:noProof/>
            <w:webHidden/>
          </w:rPr>
          <w:t>7</w:t>
        </w:r>
        <w:r>
          <w:rPr>
            <w:noProof/>
            <w:webHidden/>
          </w:rPr>
          <w:fldChar w:fldCharType="end"/>
        </w:r>
      </w:hyperlink>
    </w:p>
    <w:p w14:paraId="1384E9E7" w14:textId="77777777" w:rsidR="0030773E" w:rsidRDefault="0030773E">
      <w:pPr>
        <w:pStyle w:val="TOC2"/>
        <w:tabs>
          <w:tab w:val="right" w:leader="dot" w:pos="8630"/>
        </w:tabs>
        <w:rPr>
          <w:rFonts w:cstheme="minorBidi"/>
          <w:noProof/>
          <w:kern w:val="2"/>
          <w:sz w:val="24"/>
          <w:szCs w:val="24"/>
          <w14:ligatures w14:val="standardContextual"/>
        </w:rPr>
      </w:pPr>
      <w:hyperlink w:anchor="_Toc215492000" w:history="1">
        <w:r w:rsidRPr="00E6403E">
          <w:rPr>
            <w:rStyle w:val="Hyperlink"/>
            <w:noProof/>
          </w:rPr>
          <w:t>E. Digital property logbooks and packs</w:t>
        </w:r>
        <w:r>
          <w:rPr>
            <w:noProof/>
            <w:webHidden/>
          </w:rPr>
          <w:tab/>
        </w:r>
        <w:r>
          <w:rPr>
            <w:noProof/>
            <w:webHidden/>
          </w:rPr>
          <w:fldChar w:fldCharType="begin"/>
        </w:r>
        <w:r>
          <w:rPr>
            <w:noProof/>
            <w:webHidden/>
          </w:rPr>
          <w:instrText xml:space="preserve"> PAGEREF _Toc215492000 \h </w:instrText>
        </w:r>
        <w:r>
          <w:rPr>
            <w:noProof/>
            <w:webHidden/>
          </w:rPr>
        </w:r>
        <w:r>
          <w:rPr>
            <w:noProof/>
            <w:webHidden/>
          </w:rPr>
          <w:fldChar w:fldCharType="separate"/>
        </w:r>
        <w:r>
          <w:rPr>
            <w:noProof/>
            <w:webHidden/>
          </w:rPr>
          <w:t>8</w:t>
        </w:r>
        <w:r>
          <w:rPr>
            <w:noProof/>
            <w:webHidden/>
          </w:rPr>
          <w:fldChar w:fldCharType="end"/>
        </w:r>
      </w:hyperlink>
    </w:p>
    <w:p w14:paraId="6D0DFEDC" w14:textId="77777777" w:rsidR="0030773E" w:rsidRPr="007C7E1B" w:rsidRDefault="0030773E" w:rsidP="0030773E">
      <w:pPr>
        <w:pStyle w:val="TOC2"/>
        <w:tabs>
          <w:tab w:val="right" w:leader="dot" w:pos="8630"/>
        </w:tabs>
        <w:rPr>
          <w:rFonts w:cstheme="minorBidi"/>
          <w:noProof/>
          <w:kern w:val="2"/>
          <w:sz w:val="24"/>
          <w:szCs w:val="24"/>
          <w14:ligatures w14:val="standardContextual"/>
        </w:rPr>
      </w:pPr>
      <w:hyperlink w:anchor="_Toc215492004" w:history="1">
        <w:r w:rsidRPr="007C7E1B">
          <w:rPr>
            <w:rStyle w:val="Hyperlink"/>
            <w:noProof/>
          </w:rPr>
          <w:t>F. Binding conditional con</w:t>
        </w:r>
        <w:r w:rsidRPr="007C7E1B">
          <w:rPr>
            <w:rStyle w:val="Hyperlink"/>
            <w:noProof/>
          </w:rPr>
          <w:t>t</w:t>
        </w:r>
        <w:r w:rsidRPr="007C7E1B">
          <w:rPr>
            <w:rStyle w:val="Hyperlink"/>
            <w:noProof/>
          </w:rPr>
          <w:t>racts</w:t>
        </w:r>
        <w:r w:rsidRPr="007C7E1B">
          <w:rPr>
            <w:noProof/>
            <w:webHidden/>
          </w:rPr>
          <w:tab/>
        </w:r>
        <w:r w:rsidRPr="007C7E1B">
          <w:rPr>
            <w:noProof/>
            <w:webHidden/>
          </w:rPr>
          <w:fldChar w:fldCharType="begin"/>
        </w:r>
        <w:r w:rsidRPr="007C7E1B">
          <w:rPr>
            <w:noProof/>
            <w:webHidden/>
          </w:rPr>
          <w:instrText xml:space="preserve"> PAGEREF _Toc215492004 \h </w:instrText>
        </w:r>
        <w:r w:rsidRPr="007C7E1B">
          <w:rPr>
            <w:noProof/>
            <w:webHidden/>
          </w:rPr>
        </w:r>
        <w:r w:rsidRPr="007C7E1B">
          <w:rPr>
            <w:noProof/>
            <w:webHidden/>
          </w:rPr>
          <w:fldChar w:fldCharType="separate"/>
        </w:r>
        <w:r w:rsidRPr="007C7E1B">
          <w:rPr>
            <w:noProof/>
            <w:webHidden/>
          </w:rPr>
          <w:t>9</w:t>
        </w:r>
        <w:r w:rsidRPr="007C7E1B">
          <w:rPr>
            <w:noProof/>
            <w:webHidden/>
          </w:rPr>
          <w:fldChar w:fldCharType="end"/>
        </w:r>
      </w:hyperlink>
    </w:p>
    <w:p w14:paraId="4CF723C0" w14:textId="77777777" w:rsidR="0030773E" w:rsidRPr="007C7E1B" w:rsidRDefault="0030773E">
      <w:pPr>
        <w:pStyle w:val="TOC2"/>
        <w:tabs>
          <w:tab w:val="right" w:leader="dot" w:pos="8630"/>
        </w:tabs>
        <w:rPr>
          <w:rFonts w:cstheme="minorBidi"/>
          <w:noProof/>
          <w:kern w:val="2"/>
          <w:sz w:val="24"/>
          <w:szCs w:val="24"/>
          <w14:ligatures w14:val="standardContextual"/>
        </w:rPr>
      </w:pPr>
      <w:hyperlink w:anchor="_Toc215492009" w:history="1">
        <w:r w:rsidRPr="007C7E1B">
          <w:rPr>
            <w:rStyle w:val="Hyperlink"/>
            <w:noProof/>
          </w:rPr>
          <w:t>G. Increasing consumer education and transparency</w:t>
        </w:r>
        <w:r w:rsidRPr="007C7E1B">
          <w:rPr>
            <w:noProof/>
            <w:webHidden/>
          </w:rPr>
          <w:tab/>
        </w:r>
        <w:r w:rsidRPr="007C7E1B">
          <w:rPr>
            <w:noProof/>
            <w:webHidden/>
          </w:rPr>
          <w:fldChar w:fldCharType="begin"/>
        </w:r>
        <w:r w:rsidRPr="007C7E1B">
          <w:rPr>
            <w:noProof/>
            <w:webHidden/>
          </w:rPr>
          <w:instrText xml:space="preserve"> PAGEREF _Toc215492009 \h </w:instrText>
        </w:r>
        <w:r w:rsidRPr="007C7E1B">
          <w:rPr>
            <w:noProof/>
            <w:webHidden/>
          </w:rPr>
        </w:r>
        <w:r w:rsidRPr="007C7E1B">
          <w:rPr>
            <w:noProof/>
            <w:webHidden/>
          </w:rPr>
          <w:fldChar w:fldCharType="separate"/>
        </w:r>
        <w:r w:rsidRPr="007C7E1B">
          <w:rPr>
            <w:noProof/>
            <w:webHidden/>
          </w:rPr>
          <w:t>12</w:t>
        </w:r>
        <w:r w:rsidRPr="007C7E1B">
          <w:rPr>
            <w:noProof/>
            <w:webHidden/>
          </w:rPr>
          <w:fldChar w:fldCharType="end"/>
        </w:r>
      </w:hyperlink>
    </w:p>
    <w:p w14:paraId="402350E5" w14:textId="77777777" w:rsidR="0030773E" w:rsidRPr="007C7E1B" w:rsidRDefault="0030773E">
      <w:pPr>
        <w:pStyle w:val="TOC2"/>
        <w:tabs>
          <w:tab w:val="right" w:leader="dot" w:pos="8630"/>
        </w:tabs>
        <w:rPr>
          <w:rFonts w:cstheme="minorBidi"/>
          <w:noProof/>
          <w:kern w:val="2"/>
          <w:sz w:val="24"/>
          <w:szCs w:val="24"/>
          <w14:ligatures w14:val="standardContextual"/>
        </w:rPr>
      </w:pPr>
      <w:hyperlink w:anchor="_Toc215492013" w:history="1">
        <w:r w:rsidRPr="007C7E1B">
          <w:rPr>
            <w:rStyle w:val="Hyperlink"/>
            <w:noProof/>
          </w:rPr>
          <w:t>H. Streamlining transactions</w:t>
        </w:r>
        <w:r w:rsidRPr="007C7E1B">
          <w:rPr>
            <w:noProof/>
            <w:webHidden/>
          </w:rPr>
          <w:tab/>
        </w:r>
        <w:r w:rsidRPr="007C7E1B">
          <w:rPr>
            <w:noProof/>
            <w:webHidden/>
          </w:rPr>
          <w:fldChar w:fldCharType="begin"/>
        </w:r>
        <w:r w:rsidRPr="007C7E1B">
          <w:rPr>
            <w:noProof/>
            <w:webHidden/>
          </w:rPr>
          <w:instrText xml:space="preserve"> PAGEREF _Toc215492013 \h </w:instrText>
        </w:r>
        <w:r w:rsidRPr="007C7E1B">
          <w:rPr>
            <w:noProof/>
            <w:webHidden/>
          </w:rPr>
        </w:r>
        <w:r w:rsidRPr="007C7E1B">
          <w:rPr>
            <w:noProof/>
            <w:webHidden/>
          </w:rPr>
          <w:fldChar w:fldCharType="separate"/>
        </w:r>
        <w:r w:rsidRPr="007C7E1B">
          <w:rPr>
            <w:noProof/>
            <w:webHidden/>
          </w:rPr>
          <w:t>13</w:t>
        </w:r>
        <w:r w:rsidRPr="007C7E1B">
          <w:rPr>
            <w:noProof/>
            <w:webHidden/>
          </w:rPr>
          <w:fldChar w:fldCharType="end"/>
        </w:r>
      </w:hyperlink>
    </w:p>
    <w:p w14:paraId="25E33A5C" w14:textId="77777777" w:rsidR="0030773E" w:rsidRDefault="0030773E">
      <w:pPr>
        <w:pStyle w:val="TOC2"/>
        <w:tabs>
          <w:tab w:val="right" w:leader="dot" w:pos="8630"/>
        </w:tabs>
        <w:rPr>
          <w:rFonts w:cstheme="minorBidi"/>
          <w:noProof/>
          <w:kern w:val="2"/>
          <w:sz w:val="24"/>
          <w:szCs w:val="24"/>
          <w14:ligatures w14:val="standardContextual"/>
        </w:rPr>
      </w:pPr>
      <w:hyperlink w:anchor="_Toc215492016" w:history="1">
        <w:r w:rsidRPr="007C7E1B">
          <w:rPr>
            <w:rStyle w:val="Hyperlink"/>
            <w:noProof/>
          </w:rPr>
          <w:t>I. Next steps for digitalisation</w:t>
        </w:r>
        <w:r w:rsidRPr="007C7E1B">
          <w:rPr>
            <w:noProof/>
            <w:webHidden/>
          </w:rPr>
          <w:tab/>
        </w:r>
        <w:r w:rsidRPr="007C7E1B">
          <w:rPr>
            <w:noProof/>
            <w:webHidden/>
          </w:rPr>
          <w:fldChar w:fldCharType="begin"/>
        </w:r>
        <w:r w:rsidRPr="007C7E1B">
          <w:rPr>
            <w:noProof/>
            <w:webHidden/>
          </w:rPr>
          <w:instrText xml:space="preserve"> PAGEREF _Toc215492016 \h </w:instrText>
        </w:r>
        <w:r w:rsidRPr="007C7E1B">
          <w:rPr>
            <w:noProof/>
            <w:webHidden/>
          </w:rPr>
        </w:r>
        <w:r w:rsidRPr="007C7E1B">
          <w:rPr>
            <w:noProof/>
            <w:webHidden/>
          </w:rPr>
          <w:fldChar w:fldCharType="separate"/>
        </w:r>
        <w:r w:rsidRPr="007C7E1B">
          <w:rPr>
            <w:noProof/>
            <w:webHidden/>
          </w:rPr>
          <w:t>14</w:t>
        </w:r>
        <w:r w:rsidRPr="007C7E1B">
          <w:rPr>
            <w:noProof/>
            <w:webHidden/>
          </w:rPr>
          <w:fldChar w:fldCharType="end"/>
        </w:r>
      </w:hyperlink>
    </w:p>
    <w:p w14:paraId="194294BF" w14:textId="77777777" w:rsidR="0030773E" w:rsidRDefault="0030773E">
      <w:pPr>
        <w:pStyle w:val="TOC3"/>
        <w:tabs>
          <w:tab w:val="right" w:leader="dot" w:pos="8630"/>
        </w:tabs>
        <w:rPr>
          <w:rFonts w:cstheme="minorBidi"/>
          <w:noProof/>
          <w:kern w:val="2"/>
          <w:sz w:val="24"/>
          <w:szCs w:val="24"/>
          <w14:ligatures w14:val="standardContextual"/>
        </w:rPr>
      </w:pPr>
    </w:p>
    <w:p w14:paraId="2A511524" w14:textId="77777777" w:rsidR="0030773E" w:rsidRDefault="0030773E">
      <w:pPr>
        <w:pStyle w:val="TOC1"/>
        <w:tabs>
          <w:tab w:val="right" w:leader="dot" w:pos="8630"/>
        </w:tabs>
        <w:rPr>
          <w:rFonts w:cstheme="minorBidi"/>
          <w:noProof/>
          <w:kern w:val="2"/>
          <w:sz w:val="24"/>
          <w:szCs w:val="24"/>
          <w14:ligatures w14:val="standardContextual"/>
        </w:rPr>
      </w:pPr>
      <w:hyperlink w:anchor="_Toc215492019" w:history="1">
        <w:r w:rsidRPr="00E6403E">
          <w:rPr>
            <w:rStyle w:val="Hyperlink"/>
            <w:rFonts w:ascii="Aptos" w:eastAsia="Aptos" w:hAnsi="Aptos" w:cs="Aptos"/>
            <w:noProof/>
          </w:rPr>
          <w:t>National Housing Supply &amp; Home Moving Commission (NHSHMC)</w:t>
        </w:r>
        <w:r>
          <w:rPr>
            <w:noProof/>
            <w:webHidden/>
          </w:rPr>
          <w:tab/>
        </w:r>
        <w:r>
          <w:rPr>
            <w:noProof/>
            <w:webHidden/>
          </w:rPr>
          <w:fldChar w:fldCharType="begin"/>
        </w:r>
        <w:r>
          <w:rPr>
            <w:noProof/>
            <w:webHidden/>
          </w:rPr>
          <w:instrText xml:space="preserve"> PAGEREF _Toc215492019 \h </w:instrText>
        </w:r>
        <w:r>
          <w:rPr>
            <w:noProof/>
            <w:webHidden/>
          </w:rPr>
        </w:r>
        <w:r>
          <w:rPr>
            <w:noProof/>
            <w:webHidden/>
          </w:rPr>
          <w:fldChar w:fldCharType="separate"/>
        </w:r>
        <w:r>
          <w:rPr>
            <w:noProof/>
            <w:webHidden/>
          </w:rPr>
          <w:t>15</w:t>
        </w:r>
        <w:r>
          <w:rPr>
            <w:noProof/>
            <w:webHidden/>
          </w:rPr>
          <w:fldChar w:fldCharType="end"/>
        </w:r>
      </w:hyperlink>
    </w:p>
    <w:p w14:paraId="03A4D0EF" w14:textId="77777777" w:rsidR="0030773E" w:rsidRDefault="0030773E">
      <w:pPr>
        <w:pStyle w:val="TOC2"/>
        <w:tabs>
          <w:tab w:val="right" w:leader="dot" w:pos="8630"/>
        </w:tabs>
        <w:rPr>
          <w:rFonts w:cstheme="minorBidi"/>
          <w:noProof/>
          <w:kern w:val="2"/>
          <w:sz w:val="24"/>
          <w:szCs w:val="24"/>
          <w14:ligatures w14:val="standardContextual"/>
        </w:rPr>
      </w:pPr>
      <w:hyperlink w:anchor="_Toc215492020" w:history="1">
        <w:r w:rsidRPr="00E6403E">
          <w:rPr>
            <w:rStyle w:val="Hyperlink"/>
            <w:rFonts w:ascii="Aptos" w:eastAsia="Aptos" w:hAnsi="Aptos" w:cs="Aptos"/>
            <w:noProof/>
          </w:rPr>
          <w:t>Purpose &amp; Remit</w:t>
        </w:r>
        <w:r>
          <w:rPr>
            <w:noProof/>
            <w:webHidden/>
          </w:rPr>
          <w:tab/>
        </w:r>
        <w:r>
          <w:rPr>
            <w:noProof/>
            <w:webHidden/>
          </w:rPr>
          <w:fldChar w:fldCharType="begin"/>
        </w:r>
        <w:r>
          <w:rPr>
            <w:noProof/>
            <w:webHidden/>
          </w:rPr>
          <w:instrText xml:space="preserve"> PAGEREF _Toc215492020 \h </w:instrText>
        </w:r>
        <w:r>
          <w:rPr>
            <w:noProof/>
            <w:webHidden/>
          </w:rPr>
        </w:r>
        <w:r>
          <w:rPr>
            <w:noProof/>
            <w:webHidden/>
          </w:rPr>
          <w:fldChar w:fldCharType="separate"/>
        </w:r>
        <w:r>
          <w:rPr>
            <w:noProof/>
            <w:webHidden/>
          </w:rPr>
          <w:t>15</w:t>
        </w:r>
        <w:r>
          <w:rPr>
            <w:noProof/>
            <w:webHidden/>
          </w:rPr>
          <w:fldChar w:fldCharType="end"/>
        </w:r>
      </w:hyperlink>
    </w:p>
    <w:p w14:paraId="64F025E8" w14:textId="77777777" w:rsidR="0030773E" w:rsidRDefault="0030773E">
      <w:pPr>
        <w:pStyle w:val="TOC2"/>
        <w:tabs>
          <w:tab w:val="right" w:leader="dot" w:pos="8630"/>
        </w:tabs>
        <w:rPr>
          <w:rFonts w:cstheme="minorBidi"/>
          <w:noProof/>
          <w:kern w:val="2"/>
          <w:sz w:val="24"/>
          <w:szCs w:val="24"/>
          <w14:ligatures w14:val="standardContextual"/>
        </w:rPr>
      </w:pPr>
      <w:hyperlink w:anchor="_Toc215492021" w:history="1">
        <w:r w:rsidRPr="00E6403E">
          <w:rPr>
            <w:rStyle w:val="Hyperlink"/>
            <w:rFonts w:ascii="Aptos" w:eastAsia="Aptos" w:hAnsi="Aptos" w:cs="Aptos"/>
            <w:noProof/>
          </w:rPr>
          <w:t>Key Functions</w:t>
        </w:r>
        <w:r>
          <w:rPr>
            <w:noProof/>
            <w:webHidden/>
          </w:rPr>
          <w:tab/>
        </w:r>
        <w:r>
          <w:rPr>
            <w:noProof/>
            <w:webHidden/>
          </w:rPr>
          <w:fldChar w:fldCharType="begin"/>
        </w:r>
        <w:r>
          <w:rPr>
            <w:noProof/>
            <w:webHidden/>
          </w:rPr>
          <w:instrText xml:space="preserve"> PAGEREF _Toc215492021 \h </w:instrText>
        </w:r>
        <w:r>
          <w:rPr>
            <w:noProof/>
            <w:webHidden/>
          </w:rPr>
        </w:r>
        <w:r>
          <w:rPr>
            <w:noProof/>
            <w:webHidden/>
          </w:rPr>
          <w:fldChar w:fldCharType="separate"/>
        </w:r>
        <w:r>
          <w:rPr>
            <w:noProof/>
            <w:webHidden/>
          </w:rPr>
          <w:t>15</w:t>
        </w:r>
        <w:r>
          <w:rPr>
            <w:noProof/>
            <w:webHidden/>
          </w:rPr>
          <w:fldChar w:fldCharType="end"/>
        </w:r>
      </w:hyperlink>
    </w:p>
    <w:p w14:paraId="6BEB2140" w14:textId="77777777" w:rsidR="0030773E" w:rsidRDefault="0030773E">
      <w:pPr>
        <w:pStyle w:val="TOC2"/>
        <w:tabs>
          <w:tab w:val="right" w:leader="dot" w:pos="8630"/>
        </w:tabs>
        <w:rPr>
          <w:rFonts w:cstheme="minorBidi"/>
          <w:noProof/>
          <w:kern w:val="2"/>
          <w:sz w:val="24"/>
          <w:szCs w:val="24"/>
          <w14:ligatures w14:val="standardContextual"/>
        </w:rPr>
      </w:pPr>
      <w:hyperlink w:anchor="_Toc215492022" w:history="1">
        <w:r w:rsidRPr="00E6403E">
          <w:rPr>
            <w:rStyle w:val="Hyperlink"/>
            <w:rFonts w:ascii="Aptos" w:eastAsia="Aptos" w:hAnsi="Aptos" w:cs="Aptos"/>
            <w:noProof/>
          </w:rPr>
          <w:t>Proposed Structure</w:t>
        </w:r>
        <w:r>
          <w:rPr>
            <w:noProof/>
            <w:webHidden/>
          </w:rPr>
          <w:tab/>
        </w:r>
        <w:r>
          <w:rPr>
            <w:noProof/>
            <w:webHidden/>
          </w:rPr>
          <w:fldChar w:fldCharType="begin"/>
        </w:r>
        <w:r>
          <w:rPr>
            <w:noProof/>
            <w:webHidden/>
          </w:rPr>
          <w:instrText xml:space="preserve"> PAGEREF _Toc215492022 \h </w:instrText>
        </w:r>
        <w:r>
          <w:rPr>
            <w:noProof/>
            <w:webHidden/>
          </w:rPr>
        </w:r>
        <w:r>
          <w:rPr>
            <w:noProof/>
            <w:webHidden/>
          </w:rPr>
          <w:fldChar w:fldCharType="separate"/>
        </w:r>
        <w:r>
          <w:rPr>
            <w:noProof/>
            <w:webHidden/>
          </w:rPr>
          <w:t>16</w:t>
        </w:r>
        <w:r>
          <w:rPr>
            <w:noProof/>
            <w:webHidden/>
          </w:rPr>
          <w:fldChar w:fldCharType="end"/>
        </w:r>
      </w:hyperlink>
    </w:p>
    <w:p w14:paraId="36678AA3" w14:textId="77777777" w:rsidR="0030773E" w:rsidRDefault="0030773E">
      <w:pPr>
        <w:pStyle w:val="TOC2"/>
        <w:tabs>
          <w:tab w:val="right" w:leader="dot" w:pos="8630"/>
        </w:tabs>
        <w:rPr>
          <w:rFonts w:cstheme="minorBidi"/>
          <w:noProof/>
          <w:kern w:val="2"/>
          <w:sz w:val="24"/>
          <w:szCs w:val="24"/>
          <w14:ligatures w14:val="standardContextual"/>
        </w:rPr>
      </w:pPr>
      <w:hyperlink w:anchor="_Toc215492023" w:history="1">
        <w:r w:rsidRPr="00E6403E">
          <w:rPr>
            <w:rStyle w:val="Hyperlink"/>
            <w:rFonts w:ascii="Aptos" w:eastAsia="Aptos" w:hAnsi="Aptos" w:cs="Aptos"/>
            <w:noProof/>
          </w:rPr>
          <w:t>Membership Terms</w:t>
        </w:r>
        <w:r>
          <w:rPr>
            <w:noProof/>
            <w:webHidden/>
          </w:rPr>
          <w:tab/>
        </w:r>
        <w:r>
          <w:rPr>
            <w:noProof/>
            <w:webHidden/>
          </w:rPr>
          <w:fldChar w:fldCharType="begin"/>
        </w:r>
        <w:r>
          <w:rPr>
            <w:noProof/>
            <w:webHidden/>
          </w:rPr>
          <w:instrText xml:space="preserve"> PAGEREF _Toc215492023 \h </w:instrText>
        </w:r>
        <w:r>
          <w:rPr>
            <w:noProof/>
            <w:webHidden/>
          </w:rPr>
        </w:r>
        <w:r>
          <w:rPr>
            <w:noProof/>
            <w:webHidden/>
          </w:rPr>
          <w:fldChar w:fldCharType="separate"/>
        </w:r>
        <w:r>
          <w:rPr>
            <w:noProof/>
            <w:webHidden/>
          </w:rPr>
          <w:t>16</w:t>
        </w:r>
        <w:r>
          <w:rPr>
            <w:noProof/>
            <w:webHidden/>
          </w:rPr>
          <w:fldChar w:fldCharType="end"/>
        </w:r>
      </w:hyperlink>
    </w:p>
    <w:p w14:paraId="3D3E68C1" w14:textId="77777777" w:rsidR="0030773E" w:rsidRDefault="0030773E">
      <w:pPr>
        <w:pStyle w:val="TOC2"/>
        <w:tabs>
          <w:tab w:val="right" w:leader="dot" w:pos="8630"/>
        </w:tabs>
        <w:rPr>
          <w:rFonts w:cstheme="minorBidi"/>
          <w:noProof/>
          <w:kern w:val="2"/>
          <w:sz w:val="24"/>
          <w:szCs w:val="24"/>
          <w14:ligatures w14:val="standardContextual"/>
        </w:rPr>
      </w:pPr>
      <w:hyperlink w:anchor="_Toc215492024" w:history="1">
        <w:r w:rsidRPr="00E6403E">
          <w:rPr>
            <w:rStyle w:val="Hyperlink"/>
            <w:rFonts w:ascii="Aptos" w:eastAsia="Aptos" w:hAnsi="Aptos" w:cs="Aptos"/>
            <w:noProof/>
          </w:rPr>
          <w:t>Accountability</w:t>
        </w:r>
        <w:r>
          <w:rPr>
            <w:noProof/>
            <w:webHidden/>
          </w:rPr>
          <w:tab/>
        </w:r>
        <w:r>
          <w:rPr>
            <w:noProof/>
            <w:webHidden/>
          </w:rPr>
          <w:fldChar w:fldCharType="begin"/>
        </w:r>
        <w:r>
          <w:rPr>
            <w:noProof/>
            <w:webHidden/>
          </w:rPr>
          <w:instrText xml:space="preserve"> PAGEREF _Toc215492024 \h </w:instrText>
        </w:r>
        <w:r>
          <w:rPr>
            <w:noProof/>
            <w:webHidden/>
          </w:rPr>
        </w:r>
        <w:r>
          <w:rPr>
            <w:noProof/>
            <w:webHidden/>
          </w:rPr>
          <w:fldChar w:fldCharType="separate"/>
        </w:r>
        <w:r>
          <w:rPr>
            <w:noProof/>
            <w:webHidden/>
          </w:rPr>
          <w:t>16</w:t>
        </w:r>
        <w:r>
          <w:rPr>
            <w:noProof/>
            <w:webHidden/>
          </w:rPr>
          <w:fldChar w:fldCharType="end"/>
        </w:r>
      </w:hyperlink>
    </w:p>
    <w:p w14:paraId="1E459047" w14:textId="77777777" w:rsidR="0030773E" w:rsidRDefault="0030773E">
      <w:pPr>
        <w:pStyle w:val="TOC2"/>
        <w:tabs>
          <w:tab w:val="right" w:leader="dot" w:pos="8630"/>
        </w:tabs>
        <w:rPr>
          <w:rFonts w:cstheme="minorBidi"/>
          <w:noProof/>
          <w:kern w:val="2"/>
          <w:sz w:val="24"/>
          <w:szCs w:val="24"/>
          <w14:ligatures w14:val="standardContextual"/>
        </w:rPr>
      </w:pPr>
      <w:hyperlink w:anchor="_Toc215492025" w:history="1">
        <w:r w:rsidRPr="00E6403E">
          <w:rPr>
            <w:rStyle w:val="Hyperlink"/>
            <w:rFonts w:ascii="Aptos" w:eastAsia="Aptos" w:hAnsi="Aptos" w:cs="Aptos"/>
            <w:noProof/>
          </w:rPr>
          <w:t>Benefits</w:t>
        </w:r>
        <w:r>
          <w:rPr>
            <w:noProof/>
            <w:webHidden/>
          </w:rPr>
          <w:tab/>
        </w:r>
        <w:r>
          <w:rPr>
            <w:noProof/>
            <w:webHidden/>
          </w:rPr>
          <w:fldChar w:fldCharType="begin"/>
        </w:r>
        <w:r>
          <w:rPr>
            <w:noProof/>
            <w:webHidden/>
          </w:rPr>
          <w:instrText xml:space="preserve"> PAGEREF _Toc215492025 \h </w:instrText>
        </w:r>
        <w:r>
          <w:rPr>
            <w:noProof/>
            <w:webHidden/>
          </w:rPr>
        </w:r>
        <w:r>
          <w:rPr>
            <w:noProof/>
            <w:webHidden/>
          </w:rPr>
          <w:fldChar w:fldCharType="separate"/>
        </w:r>
        <w:r>
          <w:rPr>
            <w:noProof/>
            <w:webHidden/>
          </w:rPr>
          <w:t>16</w:t>
        </w:r>
        <w:r>
          <w:rPr>
            <w:noProof/>
            <w:webHidden/>
          </w:rPr>
          <w:fldChar w:fldCharType="end"/>
        </w:r>
      </w:hyperlink>
    </w:p>
    <w:p w14:paraId="00000004" w14:textId="10A84E68" w:rsidR="006E4CBF" w:rsidRPr="00ED672A" w:rsidRDefault="0030773E">
      <w:pPr>
        <w:spacing w:before="240" w:after="240"/>
        <w:jc w:val="both"/>
        <w:rPr>
          <w:rFonts w:ascii="Aptos" w:hAnsi="Aptos"/>
          <w:i/>
          <w:color w:val="8064A2" w:themeColor="accent4"/>
        </w:rPr>
      </w:pPr>
      <w:r>
        <w:rPr>
          <w:b/>
          <w:bCs/>
        </w:rPr>
        <w:fldChar w:fldCharType="end"/>
      </w:r>
      <w:r w:rsidR="00F24F9B" w:rsidRPr="00ED672A">
        <w:rPr>
          <w:rFonts w:ascii="Aptos" w:hAnsi="Aptos"/>
          <w:i/>
          <w:color w:val="8064A2" w:themeColor="accent4"/>
        </w:rPr>
        <w:t>Our response is set out in detail below, but we wish to highlight three points:</w:t>
      </w:r>
    </w:p>
    <w:p w14:paraId="00000005" w14:textId="4EED277E" w:rsidR="006E4CBF" w:rsidRPr="00ED672A" w:rsidRDefault="00F24F9B">
      <w:pPr>
        <w:spacing w:before="240" w:after="240"/>
        <w:jc w:val="both"/>
        <w:rPr>
          <w:rFonts w:ascii="Aptos" w:hAnsi="Aptos"/>
          <w:i/>
          <w:color w:val="8064A2" w:themeColor="accent4"/>
        </w:rPr>
      </w:pPr>
      <w:r w:rsidRPr="00ED672A">
        <w:rPr>
          <w:rFonts w:ascii="Aptos" w:hAnsi="Aptos"/>
          <w:i/>
          <w:color w:val="8064A2" w:themeColor="accent4"/>
        </w:rPr>
        <w:t>1.</w:t>
      </w:r>
      <w:r w:rsidRPr="00ED672A">
        <w:rPr>
          <w:rFonts w:ascii="Aptos" w:hAnsi="Aptos"/>
          <w:i/>
          <w:color w:val="8064A2" w:themeColor="accent4"/>
          <w:sz w:val="14"/>
        </w:rPr>
        <w:t xml:space="preserve">      </w:t>
      </w:r>
      <w:r w:rsidRPr="00ED672A">
        <w:rPr>
          <w:rFonts w:ascii="Aptos" w:hAnsi="Aptos"/>
          <w:i/>
          <w:color w:val="8064A2" w:themeColor="accent4"/>
        </w:rPr>
        <w:t xml:space="preserve">Our collective experience has shown the markets can only take innovation so far. With c. </w:t>
      </w:r>
      <w:r w:rsidR="003B4C12" w:rsidRPr="00ED672A">
        <w:rPr>
          <w:rFonts w:ascii="Aptos" w:hAnsi="Aptos"/>
          <w:i/>
          <w:color w:val="8064A2" w:themeColor="accent4"/>
        </w:rPr>
        <w:t>3,600</w:t>
      </w:r>
      <w:r w:rsidR="003B4C12" w:rsidRPr="00ED672A">
        <w:rPr>
          <w:rStyle w:val="FootnoteReference"/>
          <w:rFonts w:ascii="Aptos" w:hAnsi="Aptos"/>
          <w:i/>
          <w:color w:val="8064A2" w:themeColor="accent4"/>
        </w:rPr>
        <w:footnoteReference w:id="1"/>
      </w:r>
      <w:r w:rsidRPr="00ED672A">
        <w:rPr>
          <w:rFonts w:ascii="Aptos" w:hAnsi="Aptos"/>
          <w:i/>
          <w:color w:val="8064A2" w:themeColor="accent4"/>
        </w:rPr>
        <w:t xml:space="preserve"> conveyancing firms and c. </w:t>
      </w:r>
      <w:r w:rsidR="003B4C12" w:rsidRPr="00ED672A">
        <w:rPr>
          <w:rFonts w:ascii="Aptos" w:hAnsi="Aptos"/>
          <w:i/>
          <w:color w:val="8064A2" w:themeColor="accent4"/>
        </w:rPr>
        <w:t>2</w:t>
      </w:r>
      <w:r w:rsidRPr="00ED672A">
        <w:rPr>
          <w:rFonts w:ascii="Aptos" w:hAnsi="Aptos"/>
          <w:i/>
          <w:color w:val="8064A2" w:themeColor="accent4"/>
        </w:rPr>
        <w:t>5,000</w:t>
      </w:r>
      <w:r w:rsidR="003B4C12" w:rsidRPr="00ED672A">
        <w:rPr>
          <w:rStyle w:val="FootnoteReference"/>
          <w:rFonts w:ascii="Aptos" w:hAnsi="Aptos"/>
          <w:i/>
          <w:color w:val="8064A2" w:themeColor="accent4"/>
        </w:rPr>
        <w:footnoteReference w:id="2"/>
      </w:r>
      <w:r w:rsidRPr="00ED672A">
        <w:rPr>
          <w:rFonts w:ascii="Aptos" w:hAnsi="Aptos"/>
          <w:i/>
          <w:color w:val="8064A2" w:themeColor="accent4"/>
        </w:rPr>
        <w:t xml:space="preserve"> estate agency firms all with different systems, risk appetites </w:t>
      </w:r>
      <w:r w:rsidR="00662F82">
        <w:rPr>
          <w:rFonts w:ascii="Aptos" w:hAnsi="Aptos"/>
          <w:i/>
          <w:color w:val="8064A2" w:themeColor="accent4"/>
        </w:rPr>
        <w:t>and</w:t>
      </w:r>
      <w:r w:rsidRPr="00ED672A">
        <w:rPr>
          <w:rFonts w:ascii="Aptos" w:hAnsi="Aptos"/>
          <w:i/>
          <w:color w:val="8064A2" w:themeColor="accent4"/>
        </w:rPr>
        <w:t xml:space="preserve"> technological capability, we have found mandating by government, HM Land Registry, regulators, or mortgage lenders </w:t>
      </w:r>
      <w:r w:rsidR="00662F82">
        <w:rPr>
          <w:rFonts w:ascii="Aptos" w:hAnsi="Aptos"/>
          <w:i/>
          <w:color w:val="8064A2" w:themeColor="accent4"/>
        </w:rPr>
        <w:t xml:space="preserve">to be </w:t>
      </w:r>
      <w:r w:rsidRPr="00ED672A">
        <w:rPr>
          <w:rFonts w:ascii="Aptos" w:hAnsi="Aptos"/>
          <w:i/>
          <w:color w:val="8064A2" w:themeColor="accent4"/>
        </w:rPr>
        <w:t xml:space="preserve">the most efficient way to effect change. </w:t>
      </w:r>
    </w:p>
    <w:p w14:paraId="00000006" w14:textId="7B10EA48" w:rsidR="006E4CBF" w:rsidRPr="00ED672A" w:rsidRDefault="00F24F9B">
      <w:pPr>
        <w:spacing w:before="240" w:after="240"/>
        <w:jc w:val="both"/>
        <w:rPr>
          <w:rFonts w:ascii="Aptos" w:hAnsi="Aptos"/>
          <w:i/>
          <w:color w:val="8064A2" w:themeColor="accent4"/>
        </w:rPr>
      </w:pPr>
      <w:r w:rsidRPr="00ED672A">
        <w:rPr>
          <w:rFonts w:ascii="Aptos" w:hAnsi="Aptos"/>
          <w:i/>
          <w:color w:val="8064A2" w:themeColor="accent4"/>
        </w:rPr>
        <w:t>2.</w:t>
      </w:r>
      <w:r w:rsidRPr="00ED672A">
        <w:rPr>
          <w:rFonts w:ascii="Aptos" w:hAnsi="Aptos"/>
          <w:i/>
          <w:color w:val="8064A2" w:themeColor="accent4"/>
          <w:sz w:val="14"/>
        </w:rPr>
        <w:t xml:space="preserve">      </w:t>
      </w:r>
      <w:r w:rsidRPr="00ED672A">
        <w:rPr>
          <w:rFonts w:ascii="Aptos" w:hAnsi="Aptos"/>
          <w:i/>
          <w:color w:val="8064A2" w:themeColor="accent4"/>
        </w:rPr>
        <w:t xml:space="preserve">Conveyancing scope creep. It should be acknowledged many of the proposals in the consultation, if done properly and at the right time, will involve the conveyancer in separate and additional work. Not all of this will simply be moved from later to earlier in the transaction. The best conveyancers will embrace this, seek out efficiencies, design out </w:t>
      </w:r>
      <w:r w:rsidRPr="00ED672A">
        <w:rPr>
          <w:rFonts w:ascii="Aptos" w:hAnsi="Aptos"/>
          <w:i/>
          <w:color w:val="8064A2" w:themeColor="accent4"/>
        </w:rPr>
        <w:lastRenderedPageBreak/>
        <w:t xml:space="preserve">duplication and will benefit from a shorter title due diligence as a result of upfront information, but there will be additional work which should be properly costed. </w:t>
      </w:r>
    </w:p>
    <w:p w14:paraId="00000007" w14:textId="3D5ABF97" w:rsidR="006E4CBF" w:rsidRDefault="00F24F9B">
      <w:pPr>
        <w:spacing w:before="240" w:after="240"/>
        <w:jc w:val="both"/>
        <w:rPr>
          <w:rFonts w:ascii="Aptos" w:hAnsi="Aptos"/>
          <w:i/>
          <w:color w:val="8064A2" w:themeColor="accent4"/>
        </w:rPr>
      </w:pPr>
      <w:r w:rsidRPr="00ED672A">
        <w:rPr>
          <w:rFonts w:ascii="Aptos" w:hAnsi="Aptos"/>
          <w:i/>
          <w:color w:val="8064A2" w:themeColor="accent4"/>
        </w:rPr>
        <w:t>3.</w:t>
      </w:r>
      <w:r w:rsidRPr="00ED672A">
        <w:rPr>
          <w:rFonts w:ascii="Aptos" w:hAnsi="Aptos"/>
          <w:i/>
          <w:color w:val="8064A2" w:themeColor="accent4"/>
          <w:sz w:val="14"/>
        </w:rPr>
        <w:t xml:space="preserve">      </w:t>
      </w:r>
      <w:r w:rsidRPr="00ED672A">
        <w:rPr>
          <w:rFonts w:ascii="Aptos" w:hAnsi="Aptos"/>
          <w:i/>
          <w:color w:val="8064A2" w:themeColor="accent4"/>
        </w:rPr>
        <w:t xml:space="preserve">Our own responses, </w:t>
      </w:r>
      <w:r w:rsidR="00662F82">
        <w:rPr>
          <w:rFonts w:ascii="Aptos" w:hAnsi="Aptos"/>
          <w:i/>
          <w:color w:val="8064A2" w:themeColor="accent4"/>
        </w:rPr>
        <w:t xml:space="preserve">and </w:t>
      </w:r>
      <w:r w:rsidRPr="00ED672A">
        <w:rPr>
          <w:rFonts w:ascii="Aptos" w:hAnsi="Aptos"/>
          <w:i/>
          <w:color w:val="8064A2" w:themeColor="accent4"/>
        </w:rPr>
        <w:t xml:space="preserve">we anticipate those of other </w:t>
      </w:r>
      <w:r w:rsidR="004F0CF3" w:rsidRPr="00ED672A">
        <w:rPr>
          <w:rFonts w:ascii="Aptos" w:hAnsi="Aptos"/>
          <w:i/>
          <w:color w:val="8064A2" w:themeColor="accent4"/>
        </w:rPr>
        <w:t>organisations</w:t>
      </w:r>
      <w:r w:rsidRPr="00ED672A">
        <w:rPr>
          <w:rFonts w:ascii="Aptos" w:hAnsi="Aptos"/>
          <w:i/>
          <w:color w:val="8064A2" w:themeColor="accent4"/>
        </w:rPr>
        <w:t xml:space="preserve"> and MHCLG itself in the notes to the consultation, reference various studies, pilots and experiences of other jurisdictions. Anything we quote in our response is given in good faith, but government should ensure all data, for example, binding agreements </w:t>
      </w:r>
      <w:r w:rsidR="00DC1B29" w:rsidRPr="00ED672A">
        <w:rPr>
          <w:rFonts w:ascii="Aptos" w:hAnsi="Aptos"/>
          <w:i/>
          <w:color w:val="8064A2" w:themeColor="accent4"/>
        </w:rPr>
        <w:t>and condition</w:t>
      </w:r>
      <w:r w:rsidRPr="00ED672A">
        <w:rPr>
          <w:rFonts w:ascii="Aptos" w:hAnsi="Aptos"/>
          <w:i/>
          <w:color w:val="8064A2" w:themeColor="accent4"/>
        </w:rPr>
        <w:t xml:space="preserve"> reports, is properly </w:t>
      </w:r>
      <w:r w:rsidR="004F0CF3" w:rsidRPr="00ED672A">
        <w:rPr>
          <w:rFonts w:ascii="Aptos" w:hAnsi="Aptos"/>
          <w:i/>
          <w:color w:val="8064A2" w:themeColor="accent4"/>
        </w:rPr>
        <w:t>scrutinised,</w:t>
      </w:r>
      <w:r w:rsidRPr="00ED672A">
        <w:rPr>
          <w:rFonts w:ascii="Aptos" w:hAnsi="Aptos"/>
          <w:i/>
          <w:color w:val="8064A2" w:themeColor="accent4"/>
        </w:rPr>
        <w:t xml:space="preserve"> if long</w:t>
      </w:r>
      <w:r w:rsidR="00662F82">
        <w:rPr>
          <w:rFonts w:ascii="Aptos" w:hAnsi="Aptos"/>
          <w:i/>
          <w:color w:val="8064A2" w:themeColor="accent4"/>
        </w:rPr>
        <w:t>-</w:t>
      </w:r>
      <w:r w:rsidRPr="00ED672A">
        <w:rPr>
          <w:rFonts w:ascii="Aptos" w:hAnsi="Aptos"/>
          <w:i/>
          <w:color w:val="8064A2" w:themeColor="accent4"/>
        </w:rPr>
        <w:t>term decisions are to be made based on their conclusions</w:t>
      </w:r>
      <w:r w:rsidR="00DD0FEB" w:rsidRPr="00ED672A">
        <w:rPr>
          <w:rFonts w:ascii="Aptos" w:hAnsi="Aptos"/>
          <w:i/>
          <w:color w:val="8064A2" w:themeColor="accent4"/>
        </w:rPr>
        <w:t xml:space="preserve">. </w:t>
      </w:r>
    </w:p>
    <w:p w14:paraId="352E64FD" w14:textId="2B1A2F30" w:rsidR="00BD29DE" w:rsidRPr="00BD29DE" w:rsidRDefault="00BD29DE" w:rsidP="00BD29DE">
      <w:pPr>
        <w:spacing w:before="240" w:after="240"/>
        <w:jc w:val="both"/>
        <w:rPr>
          <w:i/>
          <w:color w:val="8064A2" w:themeColor="accent4"/>
        </w:rPr>
      </w:pPr>
      <w:r w:rsidRPr="00BD29DE">
        <w:rPr>
          <w:rFonts w:ascii="Aptos" w:hAnsi="Aptos"/>
          <w:i/>
          <w:color w:val="8064A2" w:themeColor="accent4"/>
        </w:rPr>
        <w:t xml:space="preserve">4. </w:t>
      </w:r>
      <w:r w:rsidRPr="00BD29DE">
        <w:rPr>
          <w:i/>
          <w:color w:val="8064A2" w:themeColor="accent4"/>
        </w:rPr>
        <w:t xml:space="preserve">Any changes identified through </w:t>
      </w:r>
      <w:r w:rsidRPr="00BD29DE">
        <w:rPr>
          <w:i/>
          <w:color w:val="8064A2" w:themeColor="accent4"/>
        </w:rPr>
        <w:t>the</w:t>
      </w:r>
      <w:r w:rsidRPr="00BD29DE">
        <w:rPr>
          <w:i/>
          <w:color w:val="8064A2" w:themeColor="accent4"/>
        </w:rPr>
        <w:t xml:space="preserve"> </w:t>
      </w:r>
      <w:proofErr w:type="gramStart"/>
      <w:r w:rsidRPr="00BD29DE">
        <w:rPr>
          <w:i/>
          <w:color w:val="8064A2" w:themeColor="accent4"/>
        </w:rPr>
        <w:t>consultation,</w:t>
      </w:r>
      <w:proofErr w:type="gramEnd"/>
      <w:r w:rsidRPr="00BD29DE">
        <w:rPr>
          <w:i/>
          <w:color w:val="8064A2" w:themeColor="accent4"/>
        </w:rPr>
        <w:t xml:space="preserve"> will have a profound impact on insurance, and </w:t>
      </w:r>
      <w:r w:rsidRPr="00BD29DE">
        <w:rPr>
          <w:i/>
          <w:color w:val="8064A2" w:themeColor="accent4"/>
        </w:rPr>
        <w:t xml:space="preserve">will </w:t>
      </w:r>
      <w:r w:rsidRPr="00BD29DE">
        <w:rPr>
          <w:i/>
          <w:color w:val="8064A2" w:themeColor="accent4"/>
        </w:rPr>
        <w:t>need to be reviewed with the insurers</w:t>
      </w:r>
      <w:r w:rsidRPr="00BD29DE">
        <w:rPr>
          <w:i/>
          <w:color w:val="8064A2" w:themeColor="accent4"/>
        </w:rPr>
        <w:t xml:space="preserve"> ahead of implementation</w:t>
      </w:r>
      <w:r w:rsidRPr="00BD29DE">
        <w:rPr>
          <w:i/>
          <w:color w:val="8064A2" w:themeColor="accent4"/>
        </w:rPr>
        <w:t>.</w:t>
      </w:r>
    </w:p>
    <w:p w14:paraId="2C3C89DE" w14:textId="77777777" w:rsidR="00E4174E" w:rsidRPr="00E4174E" w:rsidRDefault="00E4174E" w:rsidP="00E4174E">
      <w:pPr>
        <w:pStyle w:val="Heading2"/>
      </w:pPr>
      <w:bookmarkStart w:id="1" w:name="_Toc215491981"/>
      <w:r w:rsidRPr="00E4174E">
        <w:t>A. About you</w:t>
      </w:r>
      <w:bookmarkEnd w:id="1"/>
    </w:p>
    <w:p w14:paraId="00000008" w14:textId="77777777" w:rsidR="006E4CBF" w:rsidRPr="00ED672A" w:rsidRDefault="00F24F9B" w:rsidP="00ED672A">
      <w:pPr>
        <w:pStyle w:val="Heading2"/>
        <w:rPr>
          <w:rFonts w:ascii="Aptos" w:hAnsi="Aptos"/>
          <w:sz w:val="22"/>
        </w:rPr>
      </w:pPr>
      <w:bookmarkStart w:id="2" w:name="_Toc215491982"/>
      <w:r w:rsidRPr="00ED672A">
        <w:rPr>
          <w:rFonts w:ascii="Aptos" w:hAnsi="Aptos"/>
          <w:sz w:val="22"/>
        </w:rPr>
        <w:t>Question 1</w:t>
      </w:r>
      <w:bookmarkEnd w:id="2"/>
    </w:p>
    <w:p w14:paraId="00000009" w14:textId="77777777" w:rsidR="006E4CBF" w:rsidRDefault="00F24F9B">
      <w:pPr>
        <w:spacing w:after="160" w:line="259" w:lineRule="auto"/>
        <w:rPr>
          <w:rFonts w:ascii="Aptos" w:eastAsia="Aptos" w:hAnsi="Aptos" w:cs="Aptos"/>
        </w:rPr>
      </w:pPr>
      <w:r>
        <w:rPr>
          <w:rFonts w:ascii="Aptos" w:eastAsia="Aptos" w:hAnsi="Aptos" w:cs="Aptos"/>
        </w:rPr>
        <w:t>Are you responding as an individual or organisation? </w:t>
      </w:r>
    </w:p>
    <w:p w14:paraId="2C865E68" w14:textId="5A39CA6D" w:rsidR="00441058" w:rsidRPr="008B3E14" w:rsidRDefault="00441058">
      <w:pPr>
        <w:spacing w:after="160" w:line="259" w:lineRule="auto"/>
        <w:rPr>
          <w:rFonts w:ascii="Aptos" w:eastAsia="Aptos" w:hAnsi="Aptos" w:cs="Aptos"/>
          <w:color w:val="7030A0"/>
        </w:rPr>
      </w:pPr>
      <w:r w:rsidRPr="008B3E14">
        <w:rPr>
          <w:rFonts w:ascii="Aptos" w:eastAsia="Aptos" w:hAnsi="Aptos" w:cs="Aptos"/>
          <w:color w:val="7030A0"/>
        </w:rPr>
        <w:t>Organisation</w:t>
      </w:r>
    </w:p>
    <w:p w14:paraId="0000000A" w14:textId="77777777" w:rsidR="006E4CBF" w:rsidRPr="00ED672A" w:rsidRDefault="00F24F9B" w:rsidP="00ED672A">
      <w:pPr>
        <w:pStyle w:val="Heading2"/>
        <w:rPr>
          <w:rFonts w:ascii="Aptos" w:hAnsi="Aptos"/>
          <w:sz w:val="22"/>
        </w:rPr>
      </w:pPr>
      <w:bookmarkStart w:id="3" w:name="_Toc215491983"/>
      <w:r w:rsidRPr="00ED672A">
        <w:rPr>
          <w:rFonts w:ascii="Aptos" w:hAnsi="Aptos"/>
          <w:sz w:val="22"/>
        </w:rPr>
        <w:t>Question 2</w:t>
      </w:r>
      <w:bookmarkEnd w:id="3"/>
    </w:p>
    <w:p w14:paraId="0000000B" w14:textId="77777777" w:rsidR="006E4CBF" w:rsidRDefault="00F24F9B">
      <w:pPr>
        <w:spacing w:after="160" w:line="259" w:lineRule="auto"/>
        <w:rPr>
          <w:rFonts w:ascii="Aptos" w:eastAsia="Aptos" w:hAnsi="Aptos" w:cs="Aptos"/>
        </w:rPr>
      </w:pPr>
      <w:r>
        <w:rPr>
          <w:rFonts w:ascii="Aptos" w:eastAsia="Aptos" w:hAnsi="Aptos" w:cs="Aptos"/>
        </w:rPr>
        <w:t>If responding as an individual - what is your name? </w:t>
      </w:r>
    </w:p>
    <w:p w14:paraId="0000000C" w14:textId="77777777" w:rsidR="006E4CBF" w:rsidRPr="00ED672A" w:rsidRDefault="00F24F9B" w:rsidP="00ED672A">
      <w:pPr>
        <w:pStyle w:val="Heading2"/>
        <w:rPr>
          <w:rFonts w:ascii="Aptos" w:hAnsi="Aptos"/>
          <w:sz w:val="22"/>
        </w:rPr>
      </w:pPr>
      <w:bookmarkStart w:id="4" w:name="_Toc215491984"/>
      <w:r w:rsidRPr="00ED672A">
        <w:rPr>
          <w:rFonts w:ascii="Aptos" w:hAnsi="Aptos"/>
          <w:sz w:val="22"/>
        </w:rPr>
        <w:t>Question 3</w:t>
      </w:r>
      <w:bookmarkEnd w:id="4"/>
    </w:p>
    <w:p w14:paraId="0000000D" w14:textId="77777777" w:rsidR="006E4CBF" w:rsidRDefault="00F24F9B">
      <w:pPr>
        <w:spacing w:after="160" w:line="259" w:lineRule="auto"/>
        <w:rPr>
          <w:rFonts w:ascii="Aptos" w:eastAsia="Aptos" w:hAnsi="Aptos" w:cs="Aptos"/>
        </w:rPr>
      </w:pPr>
      <w:r>
        <w:rPr>
          <w:rFonts w:ascii="Aptos" w:eastAsia="Aptos" w:hAnsi="Aptos" w:cs="Aptos"/>
        </w:rPr>
        <w:t>If responding on behalf of an organisation - what is the name of your organisation and what is your role? </w:t>
      </w:r>
    </w:p>
    <w:p w14:paraId="02A056F0" w14:textId="19E456D3" w:rsidR="00441058" w:rsidRPr="008B3E14" w:rsidRDefault="00441058">
      <w:pPr>
        <w:spacing w:after="160" w:line="259" w:lineRule="auto"/>
        <w:rPr>
          <w:rFonts w:ascii="Aptos" w:eastAsia="Aptos" w:hAnsi="Aptos" w:cs="Aptos"/>
          <w:color w:val="7030A0"/>
        </w:rPr>
      </w:pPr>
      <w:r w:rsidRPr="008B3E14">
        <w:rPr>
          <w:rFonts w:ascii="Aptos" w:eastAsia="Aptos" w:hAnsi="Aptos" w:cs="Aptos"/>
          <w:color w:val="7030A0"/>
        </w:rPr>
        <w:t>The Conveyancing Association</w:t>
      </w:r>
    </w:p>
    <w:p w14:paraId="0000000E" w14:textId="77777777" w:rsidR="006E4CBF" w:rsidRPr="00ED672A" w:rsidRDefault="00F24F9B" w:rsidP="00ED672A">
      <w:pPr>
        <w:pStyle w:val="Heading2"/>
        <w:rPr>
          <w:rFonts w:ascii="Aptos" w:hAnsi="Aptos"/>
          <w:sz w:val="22"/>
        </w:rPr>
      </w:pPr>
      <w:bookmarkStart w:id="5" w:name="_Toc215491985"/>
      <w:r w:rsidRPr="00ED672A">
        <w:rPr>
          <w:rFonts w:ascii="Aptos" w:hAnsi="Aptos"/>
          <w:sz w:val="22"/>
        </w:rPr>
        <w:t>Question 4</w:t>
      </w:r>
      <w:bookmarkEnd w:id="5"/>
    </w:p>
    <w:p w14:paraId="0000000F" w14:textId="77777777" w:rsidR="006E4CBF" w:rsidRDefault="00F24F9B">
      <w:pPr>
        <w:spacing w:after="160" w:line="259" w:lineRule="auto"/>
        <w:rPr>
          <w:rFonts w:ascii="Aptos" w:eastAsia="Aptos" w:hAnsi="Aptos" w:cs="Aptos"/>
        </w:rPr>
      </w:pPr>
      <w:r>
        <w:rPr>
          <w:rFonts w:ascii="Aptos" w:eastAsia="Aptos" w:hAnsi="Aptos" w:cs="Aptos"/>
        </w:rPr>
        <w:t>What type of organisation are you responding on behalf of – estate agent, surveyor, conveyancer, professional body, developer, other?</w:t>
      </w:r>
    </w:p>
    <w:p w14:paraId="501217DF" w14:textId="532E1036" w:rsidR="008B3E14" w:rsidRPr="00913CC7" w:rsidRDefault="008B3E14" w:rsidP="008B3E14">
      <w:pPr>
        <w:pStyle w:val="Default"/>
        <w:rPr>
          <w:bCs/>
          <w:color w:val="7030A0"/>
          <w:sz w:val="20"/>
          <w:szCs w:val="20"/>
        </w:rPr>
      </w:pPr>
      <w:r w:rsidRPr="00913CC7">
        <w:rPr>
          <w:bCs/>
          <w:color w:val="7030A0"/>
          <w:sz w:val="20"/>
          <w:szCs w:val="20"/>
        </w:rPr>
        <w:t xml:space="preserve">The Conveyancing Association is a trade organisation representing </w:t>
      </w:r>
      <w:r>
        <w:rPr>
          <w:bCs/>
          <w:color w:val="7030A0"/>
          <w:sz w:val="20"/>
          <w:szCs w:val="20"/>
        </w:rPr>
        <w:t xml:space="preserve">approximately 75 </w:t>
      </w:r>
      <w:r w:rsidRPr="00913CC7">
        <w:rPr>
          <w:bCs/>
          <w:color w:val="7030A0"/>
          <w:sz w:val="20"/>
          <w:szCs w:val="20"/>
        </w:rPr>
        <w:t>conveyanc</w:t>
      </w:r>
      <w:r>
        <w:rPr>
          <w:bCs/>
          <w:color w:val="7030A0"/>
          <w:sz w:val="20"/>
          <w:szCs w:val="20"/>
        </w:rPr>
        <w:t xml:space="preserve">ing businesses </w:t>
      </w:r>
      <w:r w:rsidRPr="00913CC7">
        <w:rPr>
          <w:bCs/>
          <w:color w:val="7030A0"/>
          <w:sz w:val="20"/>
          <w:szCs w:val="20"/>
        </w:rPr>
        <w:t xml:space="preserve">across all regulatory frameworks.  </w:t>
      </w:r>
    </w:p>
    <w:p w14:paraId="20706FE9" w14:textId="612AB3EE" w:rsidR="00441058" w:rsidRPr="008B3E14" w:rsidRDefault="00441058">
      <w:pPr>
        <w:spacing w:after="160" w:line="259" w:lineRule="auto"/>
        <w:rPr>
          <w:rFonts w:ascii="Aptos" w:eastAsia="Aptos" w:hAnsi="Aptos" w:cs="Aptos"/>
          <w:color w:val="7030A0"/>
        </w:rPr>
      </w:pPr>
    </w:p>
    <w:p w14:paraId="2981D3C1" w14:textId="77777777" w:rsidR="00E4174E" w:rsidRDefault="00E4174E" w:rsidP="00E4174E">
      <w:pPr>
        <w:pStyle w:val="Heading2"/>
      </w:pPr>
      <w:bookmarkStart w:id="6" w:name="_Toc215491986"/>
      <w:r>
        <w:t>B. Objectives for home buying and selling reform</w:t>
      </w:r>
      <w:bookmarkEnd w:id="6"/>
    </w:p>
    <w:p w14:paraId="00000010" w14:textId="77777777" w:rsidR="006E4CBF" w:rsidRPr="00ED672A" w:rsidRDefault="00F24F9B" w:rsidP="00ED672A">
      <w:pPr>
        <w:pStyle w:val="Heading2"/>
        <w:rPr>
          <w:rFonts w:ascii="Aptos" w:hAnsi="Aptos"/>
          <w:sz w:val="22"/>
        </w:rPr>
      </w:pPr>
      <w:bookmarkStart w:id="7" w:name="_Toc215491987"/>
      <w:r w:rsidRPr="00ED672A">
        <w:rPr>
          <w:rFonts w:ascii="Aptos" w:hAnsi="Aptos"/>
          <w:sz w:val="22"/>
        </w:rPr>
        <w:t>Question 5</w:t>
      </w:r>
      <w:bookmarkEnd w:id="7"/>
    </w:p>
    <w:p w14:paraId="00000011" w14:textId="1310C431" w:rsidR="006E4CBF" w:rsidRDefault="00F24F9B">
      <w:pPr>
        <w:spacing w:after="160" w:line="259" w:lineRule="auto"/>
        <w:rPr>
          <w:rFonts w:ascii="Aptos" w:eastAsia="Aptos" w:hAnsi="Aptos" w:cs="Aptos"/>
        </w:rPr>
      </w:pPr>
      <w:r>
        <w:rPr>
          <w:rFonts w:ascii="Aptos" w:eastAsia="Aptos" w:hAnsi="Aptos" w:cs="Aptos"/>
        </w:rPr>
        <w:t>Do you agree with the proposed objectives for reforming the home buying and selling system</w:t>
      </w:r>
      <w:r w:rsidR="00DD0FEB">
        <w:rPr>
          <w:rFonts w:ascii="Aptos" w:eastAsia="Aptos" w:hAnsi="Aptos" w:cs="Aptos"/>
        </w:rPr>
        <w:t xml:space="preserve">? </w:t>
      </w:r>
    </w:p>
    <w:p w14:paraId="00000012" w14:textId="4CA2C36A" w:rsidR="006E4CBF" w:rsidRDefault="00F24F9B">
      <w:pPr>
        <w:rPr>
          <w:rFonts w:ascii="Aptos" w:eastAsia="Aptos" w:hAnsi="Aptos" w:cs="Aptos"/>
          <w:color w:val="7030A0"/>
        </w:rPr>
      </w:pPr>
      <w:r>
        <w:rPr>
          <w:rFonts w:ascii="Aptos" w:eastAsia="Aptos" w:hAnsi="Aptos" w:cs="Aptos"/>
          <w:color w:val="7030A0"/>
        </w:rPr>
        <w:t>Yes. Digitisation, consumer transparency, and professional standards must underpin reform.</w:t>
      </w:r>
    </w:p>
    <w:p w14:paraId="00000013" w14:textId="176967E3" w:rsidR="006E4CBF" w:rsidRDefault="00F24F9B">
      <w:pPr>
        <w:rPr>
          <w:rFonts w:ascii="Aptos" w:eastAsia="Aptos" w:hAnsi="Aptos" w:cs="Aptos"/>
          <w:color w:val="7030A0"/>
        </w:rPr>
      </w:pPr>
      <w:r>
        <w:rPr>
          <w:rFonts w:ascii="Aptos" w:eastAsia="Aptos" w:hAnsi="Aptos" w:cs="Aptos"/>
          <w:color w:val="7030A0"/>
        </w:rPr>
        <w:t xml:space="preserve">We also need to see the </w:t>
      </w:r>
      <w:r w:rsidR="004F0CF3">
        <w:rPr>
          <w:rFonts w:ascii="Aptos" w:eastAsia="Aptos" w:hAnsi="Aptos" w:cs="Aptos"/>
          <w:color w:val="7030A0"/>
        </w:rPr>
        <w:t xml:space="preserve">reduction in complexity of titles to property, </w:t>
      </w:r>
      <w:r>
        <w:rPr>
          <w:rFonts w:ascii="Aptos" w:eastAsia="Aptos" w:hAnsi="Aptos" w:cs="Aptos"/>
          <w:color w:val="7030A0"/>
        </w:rPr>
        <w:t>delivery of the Leasehold &amp; Freehold Reform Act secondary legislation as quickly as possible as consumers are stuck waiting for the calculation of enfranchisement and lease extension premium. Similarly, the delivery of the Building Safety Act remediation and the secure storage of the Leaseholder Deed of Certificates and deployment of the Landlord Certificate data and review through AI.</w:t>
      </w:r>
    </w:p>
    <w:p w14:paraId="00000014" w14:textId="77777777" w:rsidR="006E4CBF" w:rsidRPr="00ED672A" w:rsidRDefault="00F24F9B" w:rsidP="00ED672A">
      <w:pPr>
        <w:pStyle w:val="Heading2"/>
        <w:rPr>
          <w:rFonts w:ascii="Aptos" w:hAnsi="Aptos"/>
          <w:sz w:val="22"/>
        </w:rPr>
      </w:pPr>
      <w:bookmarkStart w:id="8" w:name="_Toc215491988"/>
      <w:r w:rsidRPr="00ED672A">
        <w:rPr>
          <w:rFonts w:ascii="Aptos" w:hAnsi="Aptos"/>
          <w:sz w:val="22"/>
        </w:rPr>
        <w:t>Question 6</w:t>
      </w:r>
      <w:bookmarkEnd w:id="8"/>
    </w:p>
    <w:p w14:paraId="00000015" w14:textId="77777777" w:rsidR="006E4CBF" w:rsidRDefault="00F24F9B">
      <w:pPr>
        <w:spacing w:after="160" w:line="259" w:lineRule="auto"/>
        <w:rPr>
          <w:rFonts w:ascii="Aptos" w:eastAsia="Aptos" w:hAnsi="Aptos" w:cs="Aptos"/>
        </w:rPr>
      </w:pPr>
      <w:r>
        <w:rPr>
          <w:rFonts w:ascii="Aptos" w:eastAsia="Aptos" w:hAnsi="Aptos" w:cs="Aptos"/>
        </w:rPr>
        <w:t>Are there any objectives you think should be changed, removed, or added?</w:t>
      </w:r>
    </w:p>
    <w:p w14:paraId="00000016" w14:textId="116803D1" w:rsidR="006E4CBF" w:rsidRDefault="00F24F9B">
      <w:pPr>
        <w:rPr>
          <w:rFonts w:ascii="Aptos" w:eastAsia="Aptos" w:hAnsi="Aptos" w:cs="Aptos"/>
          <w:color w:val="7030A0"/>
        </w:rPr>
      </w:pPr>
      <w:r>
        <w:rPr>
          <w:rFonts w:ascii="Aptos" w:eastAsia="Aptos" w:hAnsi="Aptos" w:cs="Aptos"/>
          <w:color w:val="7030A0"/>
        </w:rPr>
        <w:t>Add:  The removal of title complexity. The legislation around leasehold has become so complex</w:t>
      </w:r>
      <w:r w:rsidR="00997287">
        <w:rPr>
          <w:rFonts w:ascii="Aptos" w:eastAsia="Aptos" w:hAnsi="Aptos" w:cs="Aptos"/>
          <w:color w:val="7030A0"/>
        </w:rPr>
        <w:t xml:space="preserve"> (18 pieces of legislation since 1925</w:t>
      </w:r>
      <w:r w:rsidR="00C01C0C">
        <w:rPr>
          <w:rFonts w:ascii="Aptos" w:eastAsia="Aptos" w:hAnsi="Aptos" w:cs="Aptos"/>
          <w:color w:val="7030A0"/>
        </w:rPr>
        <w:t>) so</w:t>
      </w:r>
      <w:r>
        <w:rPr>
          <w:rFonts w:ascii="Aptos" w:eastAsia="Aptos" w:hAnsi="Aptos" w:cs="Aptos"/>
          <w:color w:val="7030A0"/>
        </w:rPr>
        <w:t xml:space="preserve"> as to create loop holes for the financial exploitation of leaseholders. This, along with managed freeholds and estate rentcharges have created huge complexity meaning consumers do not understand their obligations and lenders require deeds of amendments to provide protection for them</w:t>
      </w:r>
      <w:r w:rsidR="000C2F18">
        <w:rPr>
          <w:rFonts w:ascii="Aptos" w:eastAsia="Aptos" w:hAnsi="Aptos" w:cs="Aptos"/>
          <w:color w:val="7030A0"/>
        </w:rPr>
        <w:t>,</w:t>
      </w:r>
      <w:r>
        <w:rPr>
          <w:rFonts w:ascii="Aptos" w:eastAsia="Aptos" w:hAnsi="Aptos" w:cs="Aptos"/>
          <w:color w:val="7030A0"/>
        </w:rPr>
        <w:t xml:space="preserve"> or simply refuse to lend on these complex titles. These generate failed and delayed transactions.</w:t>
      </w:r>
    </w:p>
    <w:p w14:paraId="00000017" w14:textId="77777777" w:rsidR="006E4CBF" w:rsidRDefault="00F24F9B">
      <w:pPr>
        <w:rPr>
          <w:rFonts w:ascii="Aptos" w:eastAsia="Aptos" w:hAnsi="Aptos" w:cs="Aptos"/>
          <w:color w:val="7030A0"/>
        </w:rPr>
      </w:pPr>
      <w:r>
        <w:rPr>
          <w:rFonts w:ascii="Aptos" w:eastAsia="Aptos" w:hAnsi="Aptos" w:cs="Aptos"/>
          <w:color w:val="7030A0"/>
        </w:rPr>
        <w:t>Add: ‘Data interoperability and trust frameworks’ as a core objective, ensuring verified, real-time property information is shared securely between professionals.</w:t>
      </w:r>
    </w:p>
    <w:p w14:paraId="00000018" w14:textId="77777777" w:rsidR="006E4CBF" w:rsidRDefault="00F24F9B">
      <w:pPr>
        <w:rPr>
          <w:rFonts w:ascii="Aptos" w:eastAsia="Aptos" w:hAnsi="Aptos" w:cs="Aptos"/>
          <w:color w:val="7030A0"/>
        </w:rPr>
      </w:pPr>
      <w:r>
        <w:rPr>
          <w:rFonts w:ascii="Aptos" w:eastAsia="Aptos" w:hAnsi="Aptos" w:cs="Aptos"/>
          <w:color w:val="7030A0"/>
        </w:rPr>
        <w:t>In addition to professional standards, better adoption of the regulations of other professional bodies would be supported.</w:t>
      </w:r>
    </w:p>
    <w:p w14:paraId="00000019" w14:textId="3B5A411F" w:rsidR="006E4CBF" w:rsidRDefault="00F24F9B">
      <w:pPr>
        <w:rPr>
          <w:rFonts w:ascii="Aptos" w:eastAsia="Aptos" w:hAnsi="Aptos" w:cs="Aptos"/>
          <w:color w:val="7030A0"/>
        </w:rPr>
      </w:pPr>
      <w:r>
        <w:rPr>
          <w:rFonts w:ascii="Aptos" w:eastAsia="Aptos" w:hAnsi="Aptos" w:cs="Aptos"/>
          <w:color w:val="7030A0"/>
        </w:rPr>
        <w:t>Enforcement of all professional standards should be easier. For example, the enforcement of</w:t>
      </w:r>
      <w:r w:rsidR="000C2F18">
        <w:rPr>
          <w:rFonts w:ascii="Aptos" w:eastAsia="Aptos" w:hAnsi="Aptos" w:cs="Aptos"/>
          <w:color w:val="7030A0"/>
        </w:rPr>
        <w:t xml:space="preserve"> ‘</w:t>
      </w:r>
      <w:r>
        <w:rPr>
          <w:rFonts w:ascii="Aptos" w:eastAsia="Aptos" w:hAnsi="Aptos" w:cs="Aptos"/>
          <w:color w:val="7030A0"/>
        </w:rPr>
        <w:t>Undertakings</w:t>
      </w:r>
      <w:r w:rsidR="000C2F18">
        <w:rPr>
          <w:rFonts w:ascii="Aptos" w:eastAsia="Aptos" w:hAnsi="Aptos" w:cs="Aptos"/>
          <w:color w:val="7030A0"/>
        </w:rPr>
        <w:t>’</w:t>
      </w:r>
      <w:r>
        <w:rPr>
          <w:rFonts w:ascii="Aptos" w:eastAsia="Aptos" w:hAnsi="Aptos" w:cs="Aptos"/>
          <w:color w:val="7030A0"/>
        </w:rPr>
        <w:t xml:space="preserve"> by regulators first requires Court action, which is costly and slow. It would be better if an undertaking has not been complied with</w:t>
      </w:r>
      <w:r w:rsidR="000C2F18">
        <w:rPr>
          <w:rFonts w:ascii="Aptos" w:eastAsia="Aptos" w:hAnsi="Aptos" w:cs="Aptos"/>
          <w:color w:val="7030A0"/>
        </w:rPr>
        <w:t xml:space="preserve"> that</w:t>
      </w:r>
      <w:r>
        <w:rPr>
          <w:rFonts w:ascii="Aptos" w:eastAsia="Aptos" w:hAnsi="Aptos" w:cs="Aptos"/>
          <w:color w:val="7030A0"/>
        </w:rPr>
        <w:t xml:space="preserve"> the regulator takes action to investigate and enforce where appropriate.</w:t>
      </w:r>
    </w:p>
    <w:p w14:paraId="74A55F3D" w14:textId="77777777" w:rsidR="00E4174E" w:rsidRPr="00E4174E" w:rsidRDefault="00E4174E" w:rsidP="00E4174E">
      <w:pPr>
        <w:pStyle w:val="Heading2"/>
      </w:pPr>
      <w:bookmarkStart w:id="9" w:name="_Toc215491989"/>
      <w:r w:rsidRPr="00E4174E">
        <w:t xml:space="preserve">C. </w:t>
      </w:r>
      <w:r>
        <w:t>Requiring upfront property information (UFI)</w:t>
      </w:r>
      <w:bookmarkEnd w:id="9"/>
    </w:p>
    <w:p w14:paraId="0000001A" w14:textId="77777777" w:rsidR="006E4CBF" w:rsidRPr="00ED672A" w:rsidRDefault="00F24F9B" w:rsidP="00ED672A">
      <w:pPr>
        <w:pStyle w:val="Heading2"/>
        <w:rPr>
          <w:rFonts w:ascii="Aptos" w:hAnsi="Aptos"/>
          <w:sz w:val="22"/>
        </w:rPr>
      </w:pPr>
      <w:bookmarkStart w:id="10" w:name="_Toc215491990"/>
      <w:r w:rsidRPr="00ED672A">
        <w:rPr>
          <w:rFonts w:ascii="Aptos" w:hAnsi="Aptos"/>
          <w:sz w:val="22"/>
        </w:rPr>
        <w:t>Question 7</w:t>
      </w:r>
      <w:bookmarkEnd w:id="10"/>
    </w:p>
    <w:p w14:paraId="0000001B" w14:textId="77777777" w:rsidR="006E4CBF" w:rsidRDefault="00F24F9B">
      <w:pPr>
        <w:rPr>
          <w:rFonts w:ascii="Aptos" w:eastAsia="Aptos" w:hAnsi="Aptos" w:cs="Aptos"/>
        </w:rPr>
      </w:pPr>
      <w:r>
        <w:rPr>
          <w:rFonts w:ascii="Aptos" w:eastAsia="Aptos" w:hAnsi="Aptos" w:cs="Aptos"/>
        </w:rPr>
        <w:t>Do you agree that there should be a mandatory requirement for sellers and estate agents to provide comprehensive upfront information? </w:t>
      </w:r>
    </w:p>
    <w:p w14:paraId="0000001C" w14:textId="1081161C" w:rsidR="006E4CBF" w:rsidRDefault="00F24F9B">
      <w:pPr>
        <w:rPr>
          <w:rFonts w:ascii="Aptos" w:eastAsia="Aptos" w:hAnsi="Aptos" w:cs="Aptos"/>
          <w:color w:val="7030A0"/>
        </w:rPr>
      </w:pPr>
      <w:r>
        <w:rPr>
          <w:rFonts w:ascii="Aptos" w:eastAsia="Aptos" w:hAnsi="Aptos" w:cs="Aptos"/>
          <w:color w:val="7030A0"/>
        </w:rPr>
        <w:t xml:space="preserve">Yes. Without it, transactions will always be reactive, inefficient, and at risk of collapse. </w:t>
      </w:r>
      <w:r w:rsidR="00997287">
        <w:rPr>
          <w:rFonts w:ascii="Aptos" w:eastAsia="Aptos" w:hAnsi="Aptos" w:cs="Aptos"/>
          <w:color w:val="7030A0"/>
        </w:rPr>
        <w:t>This</w:t>
      </w:r>
      <w:r>
        <w:rPr>
          <w:rFonts w:ascii="Aptos" w:eastAsia="Aptos" w:hAnsi="Aptos" w:cs="Aptos"/>
          <w:color w:val="7030A0"/>
        </w:rPr>
        <w:t xml:space="preserve"> should not go beyond the upfront information necessary to identify the Material Information identified in the other consultation or we will end up with organisations creating new products for commercial gain.</w:t>
      </w:r>
    </w:p>
    <w:p w14:paraId="0000001D" w14:textId="7EE9FBCB" w:rsidR="006E4CBF" w:rsidRDefault="00F24F9B">
      <w:pPr>
        <w:rPr>
          <w:rFonts w:ascii="Aptos" w:eastAsia="Aptos" w:hAnsi="Aptos" w:cs="Aptos"/>
          <w:color w:val="7030A0"/>
        </w:rPr>
      </w:pPr>
      <w:r>
        <w:rPr>
          <w:rFonts w:ascii="Aptos" w:eastAsia="Aptos" w:hAnsi="Aptos" w:cs="Aptos"/>
          <w:color w:val="7030A0"/>
        </w:rPr>
        <w:t>However, this data should be reviewed by the appropriately qualified professional to ensure only the relevant Material Information, as defined in Q8 of the MHCLG Consultation on Material Information Guidance, is published as the potential buyer will not necessarily know what information is material to their intended use and enjoyment when looking at the full technical data</w:t>
      </w:r>
      <w:r w:rsidR="00C01C0C">
        <w:rPr>
          <w:rFonts w:ascii="Aptos" w:eastAsia="Aptos" w:hAnsi="Aptos" w:cs="Aptos"/>
          <w:color w:val="7030A0"/>
        </w:rPr>
        <w:t xml:space="preserve"> contained in the registers of title or search results</w:t>
      </w:r>
      <w:r>
        <w:rPr>
          <w:rFonts w:ascii="Aptos" w:eastAsia="Aptos" w:hAnsi="Aptos" w:cs="Aptos"/>
          <w:color w:val="7030A0"/>
        </w:rPr>
        <w:t>.</w:t>
      </w:r>
    </w:p>
    <w:p w14:paraId="0000001E" w14:textId="0D41D16D" w:rsidR="006E4CBF" w:rsidRDefault="00F24F9B">
      <w:pPr>
        <w:rPr>
          <w:rFonts w:ascii="Aptos" w:eastAsia="Aptos" w:hAnsi="Aptos" w:cs="Aptos"/>
          <w:color w:val="7030A0"/>
        </w:rPr>
      </w:pPr>
      <w:r>
        <w:rPr>
          <w:rFonts w:ascii="Aptos" w:eastAsia="Aptos" w:hAnsi="Aptos" w:cs="Aptos"/>
          <w:color w:val="7030A0"/>
        </w:rPr>
        <w:t>Government should ensure new</w:t>
      </w:r>
      <w:r w:rsidR="000C2F18">
        <w:rPr>
          <w:rFonts w:ascii="Aptos" w:eastAsia="Aptos" w:hAnsi="Aptos" w:cs="Aptos"/>
          <w:color w:val="7030A0"/>
        </w:rPr>
        <w:t>-</w:t>
      </w:r>
      <w:r>
        <w:rPr>
          <w:rFonts w:ascii="Aptos" w:eastAsia="Aptos" w:hAnsi="Aptos" w:cs="Aptos"/>
          <w:color w:val="7030A0"/>
        </w:rPr>
        <w:t>builds are included and the focus isn’t just on re-sales</w:t>
      </w:r>
      <w:r w:rsidR="00DD0FEB">
        <w:rPr>
          <w:rFonts w:ascii="Aptos" w:eastAsia="Aptos" w:hAnsi="Aptos" w:cs="Aptos"/>
          <w:color w:val="7030A0"/>
        </w:rPr>
        <w:t xml:space="preserve">. </w:t>
      </w:r>
      <w:r>
        <w:rPr>
          <w:rFonts w:ascii="Aptos" w:eastAsia="Aptos" w:hAnsi="Aptos" w:cs="Aptos"/>
          <w:color w:val="7030A0"/>
        </w:rPr>
        <w:t>Whi</w:t>
      </w:r>
      <w:r w:rsidR="000C2F18">
        <w:rPr>
          <w:rFonts w:ascii="Aptos" w:eastAsia="Aptos" w:hAnsi="Aptos" w:cs="Aptos"/>
          <w:color w:val="7030A0"/>
        </w:rPr>
        <w:t>le</w:t>
      </w:r>
      <w:r>
        <w:rPr>
          <w:rFonts w:ascii="Aptos" w:eastAsia="Aptos" w:hAnsi="Aptos" w:cs="Aptos"/>
          <w:color w:val="7030A0"/>
        </w:rPr>
        <w:t xml:space="preserve"> the New Build Quality Code does cover this to some extent</w:t>
      </w:r>
      <w:r w:rsidR="000C2F18">
        <w:rPr>
          <w:rFonts w:ascii="Aptos" w:eastAsia="Aptos" w:hAnsi="Aptos" w:cs="Aptos"/>
          <w:color w:val="7030A0"/>
        </w:rPr>
        <w:t>,</w:t>
      </w:r>
      <w:r>
        <w:rPr>
          <w:rFonts w:ascii="Aptos" w:eastAsia="Aptos" w:hAnsi="Aptos" w:cs="Aptos"/>
          <w:color w:val="7030A0"/>
        </w:rPr>
        <w:t xml:space="preserve"> it is not compulsory for developers to sign up to it.</w:t>
      </w:r>
    </w:p>
    <w:p w14:paraId="0000001F" w14:textId="32E928B4" w:rsidR="006E4CBF" w:rsidRDefault="00F24F9B">
      <w:pPr>
        <w:rPr>
          <w:rFonts w:ascii="Aptos" w:eastAsia="Aptos" w:hAnsi="Aptos" w:cs="Aptos"/>
          <w:color w:val="7030A0"/>
        </w:rPr>
      </w:pPr>
      <w:r>
        <w:rPr>
          <w:rFonts w:ascii="Aptos" w:eastAsia="Aptos" w:hAnsi="Aptos" w:cs="Aptos"/>
          <w:color w:val="7030A0"/>
        </w:rPr>
        <w:t xml:space="preserve">There is concern that the gathering of upfront information will delay </w:t>
      </w:r>
      <w:r w:rsidR="000C2F18">
        <w:rPr>
          <w:rFonts w:ascii="Aptos" w:eastAsia="Aptos" w:hAnsi="Aptos" w:cs="Aptos"/>
          <w:color w:val="7030A0"/>
        </w:rPr>
        <w:t xml:space="preserve">property </w:t>
      </w:r>
      <w:r>
        <w:rPr>
          <w:rFonts w:ascii="Aptos" w:eastAsia="Aptos" w:hAnsi="Aptos" w:cs="Aptos"/>
          <w:color w:val="7030A0"/>
        </w:rPr>
        <w:t>listing and sale,</w:t>
      </w:r>
      <w:r w:rsidR="00997287">
        <w:rPr>
          <w:rFonts w:ascii="Aptos" w:eastAsia="Aptos" w:hAnsi="Aptos" w:cs="Aptos"/>
          <w:color w:val="7030A0"/>
        </w:rPr>
        <w:t xml:space="preserve"> which needs to be </w:t>
      </w:r>
      <w:r w:rsidR="003665EC">
        <w:rPr>
          <w:rFonts w:ascii="Aptos" w:eastAsia="Aptos" w:hAnsi="Aptos" w:cs="Aptos"/>
          <w:color w:val="7030A0"/>
        </w:rPr>
        <w:t>researched. H</w:t>
      </w:r>
      <w:r>
        <w:rPr>
          <w:rFonts w:ascii="Aptos" w:eastAsia="Aptos" w:hAnsi="Aptos" w:cs="Aptos"/>
          <w:color w:val="7030A0"/>
        </w:rPr>
        <w:t>owever, prior to listing the property</w:t>
      </w:r>
      <w:r w:rsidR="000C2F18">
        <w:rPr>
          <w:rFonts w:ascii="Aptos" w:eastAsia="Aptos" w:hAnsi="Aptos" w:cs="Aptos"/>
          <w:color w:val="7030A0"/>
        </w:rPr>
        <w:t>,</w:t>
      </w:r>
      <w:r>
        <w:rPr>
          <w:rFonts w:ascii="Aptos" w:eastAsia="Aptos" w:hAnsi="Aptos" w:cs="Aptos"/>
          <w:color w:val="7030A0"/>
        </w:rPr>
        <w:t xml:space="preserve"> the seller will be motivated to deliver the information and instruct the appropriate professionals</w:t>
      </w:r>
      <w:r w:rsidR="000C2F18">
        <w:rPr>
          <w:rFonts w:ascii="Aptos" w:eastAsia="Aptos" w:hAnsi="Aptos" w:cs="Aptos"/>
          <w:color w:val="7030A0"/>
        </w:rPr>
        <w:t>,</w:t>
      </w:r>
      <w:r>
        <w:rPr>
          <w:rFonts w:ascii="Aptos" w:eastAsia="Aptos" w:hAnsi="Aptos" w:cs="Aptos"/>
          <w:color w:val="7030A0"/>
        </w:rPr>
        <w:t xml:space="preserve"> </w:t>
      </w:r>
      <w:sdt>
        <w:sdtPr>
          <w:tag w:val="goog_rdk_0"/>
          <w:id w:val="1587681169"/>
        </w:sdtPr>
        <w:sdtContent/>
      </w:sdt>
      <w:sdt>
        <w:sdtPr>
          <w:tag w:val="goog_rdk_1"/>
          <w:id w:val="-1210691244"/>
        </w:sdtPr>
        <w:sdtContent/>
      </w:sdt>
      <w:sdt>
        <w:sdtPr>
          <w:tag w:val="goog_rdk_2"/>
          <w:id w:val="-1043832874"/>
        </w:sdtPr>
        <w:sdtContent/>
      </w:sdt>
      <w:r>
        <w:rPr>
          <w:rFonts w:ascii="Aptos" w:eastAsia="Aptos" w:hAnsi="Aptos" w:cs="Aptos"/>
          <w:color w:val="7030A0"/>
        </w:rPr>
        <w:t>so the process will be quicker and of course less stressful</w:t>
      </w:r>
      <w:r w:rsidR="003665EC">
        <w:rPr>
          <w:rStyle w:val="FootnoteReference"/>
          <w:rFonts w:ascii="Aptos" w:eastAsia="Aptos" w:hAnsi="Aptos" w:cs="Aptos"/>
          <w:color w:val="7030A0"/>
        </w:rPr>
        <w:footnoteReference w:id="3"/>
      </w:r>
      <w:r>
        <w:rPr>
          <w:rFonts w:ascii="Aptos" w:eastAsia="Aptos" w:hAnsi="Aptos" w:cs="Aptos"/>
          <w:color w:val="7030A0"/>
        </w:rPr>
        <w:t xml:space="preserve"> as there is no buyer</w:t>
      </w:r>
      <w:r w:rsidR="00DD0FEB">
        <w:rPr>
          <w:rFonts w:ascii="Aptos" w:eastAsia="Aptos" w:hAnsi="Aptos" w:cs="Aptos"/>
          <w:color w:val="7030A0"/>
        </w:rPr>
        <w:t xml:space="preserve">. </w:t>
      </w:r>
      <w:r>
        <w:rPr>
          <w:rFonts w:ascii="Aptos" w:eastAsia="Aptos" w:hAnsi="Aptos" w:cs="Aptos"/>
          <w:color w:val="7030A0"/>
        </w:rPr>
        <w:t>Whil</w:t>
      </w:r>
      <w:r w:rsidR="000C2F18">
        <w:rPr>
          <w:rFonts w:ascii="Aptos" w:eastAsia="Aptos" w:hAnsi="Aptos" w:cs="Aptos"/>
          <w:color w:val="7030A0"/>
        </w:rPr>
        <w:t>e</w:t>
      </w:r>
      <w:r>
        <w:rPr>
          <w:rFonts w:ascii="Aptos" w:eastAsia="Aptos" w:hAnsi="Aptos" w:cs="Aptos"/>
          <w:color w:val="7030A0"/>
        </w:rPr>
        <w:t xml:space="preserve"> it might delay the listing of the property by a couple of weeks</w:t>
      </w:r>
      <w:r w:rsidR="000C2F18">
        <w:rPr>
          <w:rFonts w:ascii="Aptos" w:eastAsia="Aptos" w:hAnsi="Aptos" w:cs="Aptos"/>
          <w:color w:val="7030A0"/>
        </w:rPr>
        <w:t>,</w:t>
      </w:r>
      <w:r>
        <w:rPr>
          <w:rFonts w:ascii="Aptos" w:eastAsia="Aptos" w:hAnsi="Aptos" w:cs="Aptos"/>
          <w:color w:val="7030A0"/>
        </w:rPr>
        <w:t xml:space="preserve"> this is less stressful and risky to the transaction than the information being delayed or incorrect once a buyer is found.</w:t>
      </w:r>
    </w:p>
    <w:p w14:paraId="00000020" w14:textId="77777777" w:rsidR="006E4CBF" w:rsidRPr="00ED672A" w:rsidRDefault="00F24F9B" w:rsidP="00ED672A">
      <w:pPr>
        <w:pStyle w:val="Heading2"/>
        <w:rPr>
          <w:rFonts w:ascii="Aptos" w:hAnsi="Aptos"/>
          <w:sz w:val="22"/>
        </w:rPr>
      </w:pPr>
      <w:bookmarkStart w:id="11" w:name="_Toc215491991"/>
      <w:r w:rsidRPr="00ED672A">
        <w:rPr>
          <w:rFonts w:ascii="Aptos" w:hAnsi="Aptos"/>
          <w:sz w:val="22"/>
        </w:rPr>
        <w:t>Question 8</w:t>
      </w:r>
      <w:bookmarkEnd w:id="11"/>
    </w:p>
    <w:p w14:paraId="00000021" w14:textId="77777777" w:rsidR="006E4CBF" w:rsidRDefault="00F24F9B">
      <w:pPr>
        <w:rPr>
          <w:rFonts w:ascii="Aptos" w:eastAsia="Aptos" w:hAnsi="Aptos" w:cs="Aptos"/>
          <w:color w:val="7030A0"/>
        </w:rPr>
      </w:pPr>
      <w:r>
        <w:rPr>
          <w:rFonts w:ascii="Aptos" w:eastAsia="Aptos" w:hAnsi="Aptos" w:cs="Aptos"/>
        </w:rPr>
        <w:t>Do you agree that this should include a requirement to order property searches and undertake a property condition report?</w:t>
      </w:r>
    </w:p>
    <w:p w14:paraId="00000022" w14:textId="560491C4" w:rsidR="006E4CBF" w:rsidRDefault="00F24F9B">
      <w:pPr>
        <w:rPr>
          <w:rFonts w:ascii="Aptos" w:eastAsia="Aptos" w:hAnsi="Aptos" w:cs="Aptos"/>
          <w:color w:val="7030A0"/>
        </w:rPr>
      </w:pPr>
      <w:r>
        <w:rPr>
          <w:rFonts w:ascii="Aptos" w:eastAsia="Aptos" w:hAnsi="Aptos" w:cs="Aptos"/>
          <w:color w:val="7030A0"/>
        </w:rPr>
        <w:t>Yes, search data is vital</w:t>
      </w:r>
      <w:r w:rsidR="00DD0FEB">
        <w:rPr>
          <w:rFonts w:ascii="Aptos" w:eastAsia="Aptos" w:hAnsi="Aptos" w:cs="Aptos"/>
          <w:color w:val="7030A0"/>
        </w:rPr>
        <w:t xml:space="preserve">. </w:t>
      </w:r>
      <w:r>
        <w:rPr>
          <w:rFonts w:ascii="Aptos" w:eastAsia="Aptos" w:hAnsi="Aptos" w:cs="Aptos"/>
          <w:color w:val="7030A0"/>
        </w:rPr>
        <w:t xml:space="preserve">Conveyancers cannot compliantly exchange contracts without search data, and estate agents cannot comply with the DMCCA without having verified what restrictions impact the property, so having it upfront reduces delay and failed transactions. </w:t>
      </w:r>
    </w:p>
    <w:p w14:paraId="00000023" w14:textId="70ADE277" w:rsidR="006E4CBF" w:rsidRDefault="00F24F9B">
      <w:pPr>
        <w:rPr>
          <w:rFonts w:ascii="Aptos" w:eastAsia="Aptos" w:hAnsi="Aptos" w:cs="Aptos"/>
          <w:color w:val="7030A0"/>
        </w:rPr>
      </w:pPr>
      <w:r>
        <w:rPr>
          <w:rFonts w:ascii="Aptos" w:eastAsia="Aptos" w:hAnsi="Aptos" w:cs="Aptos"/>
          <w:color w:val="7030A0"/>
        </w:rPr>
        <w:t>The CA agree all the data suggested is necessary. We are agnostic</w:t>
      </w:r>
      <w:r w:rsidR="00091451">
        <w:rPr>
          <w:rFonts w:ascii="Aptos" w:eastAsia="Aptos" w:hAnsi="Aptos" w:cs="Aptos"/>
          <w:color w:val="7030A0"/>
        </w:rPr>
        <w:t xml:space="preserve"> as</w:t>
      </w:r>
      <w:r>
        <w:rPr>
          <w:rFonts w:ascii="Aptos" w:eastAsia="Aptos" w:hAnsi="Aptos" w:cs="Aptos"/>
          <w:color w:val="7030A0"/>
        </w:rPr>
        <w:t xml:space="preserve"> to how that data is sourced as long as it is trusted. Currently, this is primarily obtained from searches; however, in the future, it is anticipated it will increasingly come directly from digital sources once the authority data is digitalised.</w:t>
      </w:r>
    </w:p>
    <w:p w14:paraId="00000024" w14:textId="43B637BD" w:rsidR="006E4CBF" w:rsidRDefault="00F24F9B">
      <w:pPr>
        <w:rPr>
          <w:rFonts w:ascii="Aptos" w:eastAsia="Aptos" w:hAnsi="Aptos" w:cs="Aptos"/>
          <w:color w:val="7030A0"/>
        </w:rPr>
      </w:pPr>
      <w:r>
        <w:rPr>
          <w:rFonts w:ascii="Aptos" w:eastAsia="Aptos" w:hAnsi="Aptos" w:cs="Aptos"/>
          <w:color w:val="7030A0"/>
        </w:rPr>
        <w:t>Whil</w:t>
      </w:r>
      <w:r w:rsidR="000C2F18">
        <w:rPr>
          <w:rFonts w:ascii="Aptos" w:eastAsia="Aptos" w:hAnsi="Aptos" w:cs="Aptos"/>
          <w:color w:val="7030A0"/>
        </w:rPr>
        <w:t>e</w:t>
      </w:r>
      <w:r>
        <w:rPr>
          <w:rFonts w:ascii="Aptos" w:eastAsia="Aptos" w:hAnsi="Aptos" w:cs="Aptos"/>
          <w:color w:val="7030A0"/>
        </w:rPr>
        <w:t xml:space="preserve"> mandatory search data and a condition report create certainty, this does not necessarily have to be in the form of a Con29O, R or DW – if the data is digitalised it could just be the data which is material to the property. For example, material information would be </w:t>
      </w:r>
      <w:r w:rsidR="000C2F18">
        <w:rPr>
          <w:rFonts w:ascii="Aptos" w:eastAsia="Aptos" w:hAnsi="Aptos" w:cs="Aptos"/>
          <w:color w:val="7030A0"/>
        </w:rPr>
        <w:t>that the</w:t>
      </w:r>
      <w:r>
        <w:rPr>
          <w:rFonts w:ascii="Aptos" w:eastAsia="Aptos" w:hAnsi="Aptos" w:cs="Aptos"/>
          <w:color w:val="7030A0"/>
        </w:rPr>
        <w:t xml:space="preserve"> property </w:t>
      </w:r>
      <w:r w:rsidR="000C2F18">
        <w:rPr>
          <w:rFonts w:ascii="Aptos" w:eastAsia="Aptos" w:hAnsi="Aptos" w:cs="Aptos"/>
          <w:color w:val="7030A0"/>
        </w:rPr>
        <w:t>is</w:t>
      </w:r>
      <w:r>
        <w:rPr>
          <w:rFonts w:ascii="Aptos" w:eastAsia="Aptos" w:hAnsi="Aptos" w:cs="Aptos"/>
          <w:color w:val="7030A0"/>
        </w:rPr>
        <w:t xml:space="preserve"> Grade II Listed, not that it was not.</w:t>
      </w:r>
    </w:p>
    <w:p w14:paraId="00000025" w14:textId="4E99D30F" w:rsidR="006E4CBF" w:rsidRDefault="00000000">
      <w:pPr>
        <w:rPr>
          <w:rFonts w:ascii="Aptos" w:eastAsia="Aptos" w:hAnsi="Aptos" w:cs="Aptos"/>
          <w:color w:val="7030A0"/>
        </w:rPr>
      </w:pPr>
      <w:sdt>
        <w:sdtPr>
          <w:tag w:val="goog_rdk_3"/>
          <w:id w:val="256874777"/>
        </w:sdtPr>
        <w:sdtContent/>
      </w:sdt>
      <w:sdt>
        <w:sdtPr>
          <w:tag w:val="goog_rdk_4"/>
          <w:id w:val="-641901607"/>
        </w:sdtPr>
        <w:sdtContent/>
      </w:sdt>
      <w:r w:rsidR="00F24F9B">
        <w:rPr>
          <w:rFonts w:ascii="Aptos" w:eastAsia="Aptos" w:hAnsi="Aptos" w:cs="Aptos"/>
          <w:color w:val="7030A0"/>
        </w:rPr>
        <w:t>The HBSC survey of 466 home buyers and sellers in 2021 indicated 98% wanted upfront information, 74% thought that should include a Local Authority Search, 64% a Drainage and Water Search, 68% an environmental search, 69% wanted a condition report and 89% wanted shared amenity service charge information. 72% thought the seller should pay for this and 96% had bought or sold a property in the past.</w:t>
      </w:r>
    </w:p>
    <w:p w14:paraId="00000026" w14:textId="77777777" w:rsidR="006E4CBF" w:rsidRDefault="00F24F9B">
      <w:pPr>
        <w:rPr>
          <w:rFonts w:ascii="Aptos" w:eastAsia="Aptos" w:hAnsi="Aptos" w:cs="Aptos"/>
          <w:color w:val="7030A0"/>
        </w:rPr>
      </w:pPr>
      <w:r>
        <w:rPr>
          <w:rFonts w:ascii="Aptos" w:eastAsia="Aptos" w:hAnsi="Aptos" w:cs="Aptos"/>
          <w:color w:val="7030A0"/>
        </w:rPr>
        <w:t>The cost of provision of full upfront information could put off speculative sellers.</w:t>
      </w:r>
    </w:p>
    <w:p w14:paraId="00000027" w14:textId="64F3E4BB" w:rsidR="006E4CBF" w:rsidRDefault="00F24F9B">
      <w:pPr>
        <w:rPr>
          <w:rFonts w:ascii="Aptos" w:eastAsia="Aptos" w:hAnsi="Aptos" w:cs="Aptos"/>
          <w:color w:val="7030A0"/>
        </w:rPr>
      </w:pPr>
      <w:r>
        <w:rPr>
          <w:rFonts w:ascii="Aptos" w:eastAsia="Aptos" w:hAnsi="Aptos" w:cs="Aptos"/>
          <w:color w:val="7030A0"/>
        </w:rPr>
        <w:t>Zoopla state 50% of properties marketed do not sell; by requiring the cost and provision of UFI</w:t>
      </w:r>
      <w:r w:rsidR="000C2F18">
        <w:rPr>
          <w:rFonts w:ascii="Aptos" w:eastAsia="Aptos" w:hAnsi="Aptos" w:cs="Aptos"/>
          <w:color w:val="7030A0"/>
        </w:rPr>
        <w:t>,</w:t>
      </w:r>
      <w:r>
        <w:rPr>
          <w:rFonts w:ascii="Aptos" w:eastAsia="Aptos" w:hAnsi="Aptos" w:cs="Aptos"/>
          <w:color w:val="7030A0"/>
        </w:rPr>
        <w:t xml:space="preserve"> speculative sellers who cause loss to others are removed from the market, and those who want to sell but are worried about the upfront cost can take a product to move payment to the end on completion as they did with HIPs.</w:t>
      </w:r>
    </w:p>
    <w:p w14:paraId="00000028" w14:textId="59A875B0" w:rsidR="006E4CBF" w:rsidRDefault="00000000">
      <w:pPr>
        <w:rPr>
          <w:rFonts w:ascii="Aptos" w:eastAsia="Aptos" w:hAnsi="Aptos" w:cs="Aptos"/>
          <w:color w:val="7030A0"/>
        </w:rPr>
      </w:pPr>
      <w:sdt>
        <w:sdtPr>
          <w:tag w:val="goog_rdk_6"/>
          <w:id w:val="2096166643"/>
        </w:sdtPr>
        <w:sdtContent/>
      </w:sdt>
      <w:sdt>
        <w:sdtPr>
          <w:tag w:val="goog_rdk_7"/>
          <w:id w:val="-68720550"/>
        </w:sdtPr>
        <w:sdtContent/>
      </w:sdt>
      <w:r w:rsidR="00F24F9B">
        <w:rPr>
          <w:rFonts w:ascii="Aptos" w:eastAsia="Aptos" w:hAnsi="Aptos" w:cs="Aptos"/>
          <w:color w:val="7030A0"/>
        </w:rPr>
        <w:t>Financial products were created when HIPS were required to support sellers who could not afford the cost of a HIP</w:t>
      </w:r>
      <w:r w:rsidR="00091451">
        <w:rPr>
          <w:rFonts w:ascii="Aptos" w:eastAsia="Aptos" w:hAnsi="Aptos" w:cs="Aptos"/>
          <w:color w:val="7030A0"/>
        </w:rPr>
        <w:t xml:space="preserve"> and so removed that barrier to listing</w:t>
      </w:r>
      <w:r w:rsidR="00F24F9B">
        <w:rPr>
          <w:rFonts w:ascii="Aptos" w:eastAsia="Aptos" w:hAnsi="Aptos" w:cs="Aptos"/>
          <w:color w:val="7030A0"/>
        </w:rPr>
        <w:t>. The property market did not improve after the scrapping of HIPs, it was the lenders having the money to lend again after the financial crisis that enabled the market to re-start</w:t>
      </w:r>
      <w:r w:rsidR="00DD0FEB">
        <w:rPr>
          <w:rFonts w:ascii="Aptos" w:eastAsia="Aptos" w:hAnsi="Aptos" w:cs="Aptos"/>
          <w:color w:val="7030A0"/>
        </w:rPr>
        <w:t xml:space="preserve">. </w:t>
      </w:r>
    </w:p>
    <w:p w14:paraId="00000029" w14:textId="5A4B8D0A" w:rsidR="006E4CBF" w:rsidRDefault="00F24F9B">
      <w:pPr>
        <w:rPr>
          <w:rFonts w:ascii="Aptos" w:eastAsia="Aptos" w:hAnsi="Aptos" w:cs="Aptos"/>
          <w:color w:val="7030A0"/>
        </w:rPr>
      </w:pPr>
      <w:r>
        <w:rPr>
          <w:rFonts w:ascii="Aptos" w:eastAsia="Aptos" w:hAnsi="Aptos" w:cs="Aptos"/>
          <w:color w:val="7030A0"/>
        </w:rPr>
        <w:t>In the main, surveyors provide a list of specialist reports, based on the property age/type and physical inspection, required to establish whether an issue exists, for example, damp and timber, wall ties, electrical tests, asbestos</w:t>
      </w:r>
      <w:r w:rsidR="000C2F18">
        <w:rPr>
          <w:rFonts w:ascii="Aptos" w:eastAsia="Aptos" w:hAnsi="Aptos" w:cs="Aptos"/>
          <w:color w:val="7030A0"/>
        </w:rPr>
        <w:t>,</w:t>
      </w:r>
      <w:r>
        <w:rPr>
          <w:rFonts w:ascii="Aptos" w:eastAsia="Aptos" w:hAnsi="Aptos" w:cs="Aptos"/>
          <w:color w:val="7030A0"/>
        </w:rPr>
        <w:t xml:space="preserve"> </w:t>
      </w:r>
      <w:r w:rsidR="00DD0FEB">
        <w:rPr>
          <w:rFonts w:ascii="Aptos" w:eastAsia="Aptos" w:hAnsi="Aptos" w:cs="Aptos"/>
          <w:color w:val="7030A0"/>
        </w:rPr>
        <w:t xml:space="preserve">etc. </w:t>
      </w:r>
    </w:p>
    <w:p w14:paraId="0000002A" w14:textId="48C0845D" w:rsidR="006E4CBF" w:rsidRDefault="00F24F9B">
      <w:pPr>
        <w:rPr>
          <w:rFonts w:ascii="Aptos" w:eastAsia="Aptos" w:hAnsi="Aptos" w:cs="Aptos"/>
          <w:color w:val="7030A0"/>
        </w:rPr>
      </w:pPr>
      <w:r>
        <w:rPr>
          <w:rFonts w:ascii="Aptos" w:eastAsia="Aptos" w:hAnsi="Aptos" w:cs="Aptos"/>
          <w:color w:val="7030A0"/>
        </w:rPr>
        <w:t>Once a condition report is obtained, future transactions could be based on that</w:t>
      </w:r>
      <w:r w:rsidR="000C2F18">
        <w:rPr>
          <w:rFonts w:ascii="Aptos" w:eastAsia="Aptos" w:hAnsi="Aptos" w:cs="Aptos"/>
          <w:color w:val="7030A0"/>
        </w:rPr>
        <w:t>,</w:t>
      </w:r>
      <w:r>
        <w:rPr>
          <w:rFonts w:ascii="Aptos" w:eastAsia="Aptos" w:hAnsi="Aptos" w:cs="Aptos"/>
          <w:color w:val="7030A0"/>
        </w:rPr>
        <w:t xml:space="preserve"> and specialist reports and guarantees as to whether an issue was found and corrected.</w:t>
      </w:r>
    </w:p>
    <w:p w14:paraId="0000002B" w14:textId="1AE1729B" w:rsidR="006E4CBF" w:rsidRDefault="00F24F9B">
      <w:pPr>
        <w:rPr>
          <w:rFonts w:ascii="Aptos" w:eastAsia="Aptos" w:hAnsi="Aptos" w:cs="Aptos"/>
          <w:color w:val="7030A0"/>
        </w:rPr>
      </w:pPr>
      <w:r>
        <w:rPr>
          <w:rFonts w:ascii="Aptos" w:eastAsia="Aptos" w:hAnsi="Aptos" w:cs="Aptos"/>
          <w:color w:val="7030A0"/>
        </w:rPr>
        <w:t>The sector states there would be barriers in the capacity of qualified surveyors and concern the condition reports would not be accepted by lenders. This has not played out in the Scottish One Survey where lenders now accept a transcript of the valuation. It could be the lender’s current valuation process could be enhanced by the condition report.</w:t>
      </w:r>
    </w:p>
    <w:p w14:paraId="0000002C" w14:textId="1713C4DA" w:rsidR="006E4CBF" w:rsidRDefault="00F24F9B">
      <w:pPr>
        <w:rPr>
          <w:rFonts w:ascii="Aptos" w:eastAsia="Aptos" w:hAnsi="Aptos" w:cs="Aptos"/>
          <w:color w:val="7030A0"/>
        </w:rPr>
      </w:pPr>
      <w:r>
        <w:rPr>
          <w:rFonts w:ascii="Aptos" w:eastAsia="Aptos" w:hAnsi="Aptos" w:cs="Aptos"/>
          <w:color w:val="7030A0"/>
        </w:rPr>
        <w:t>Home condition reports may represent a desirable outcome; however, there are notable barriers, including market capacity, HIP</w:t>
      </w:r>
      <w:r w:rsidR="000C2F18">
        <w:rPr>
          <w:rFonts w:ascii="Aptos" w:eastAsia="Aptos" w:hAnsi="Aptos" w:cs="Aptos"/>
          <w:color w:val="7030A0"/>
        </w:rPr>
        <w:t>s’</w:t>
      </w:r>
      <w:r>
        <w:rPr>
          <w:rFonts w:ascii="Aptos" w:eastAsia="Aptos" w:hAnsi="Aptos" w:cs="Aptos"/>
          <w:color w:val="7030A0"/>
        </w:rPr>
        <w:t xml:space="preserve"> history, and lenders’ reluctance to accept them. It is not necessary, nor feasible, for us to have solutions to all of these challenges at this stage.</w:t>
      </w:r>
    </w:p>
    <w:p w14:paraId="0000002D" w14:textId="6882FA96" w:rsidR="006E4CBF" w:rsidRDefault="00F24F9B">
      <w:pPr>
        <w:rPr>
          <w:rFonts w:ascii="Aptos" w:eastAsia="Aptos" w:hAnsi="Aptos" w:cs="Aptos"/>
          <w:color w:val="7030A0"/>
        </w:rPr>
      </w:pPr>
      <w:r>
        <w:rPr>
          <w:rFonts w:ascii="Aptos" w:eastAsia="Aptos" w:hAnsi="Aptos" w:cs="Aptos"/>
          <w:color w:val="7030A0"/>
        </w:rPr>
        <w:t>Again, given the issues with building quality of new</w:t>
      </w:r>
      <w:r w:rsidR="000C2F18">
        <w:rPr>
          <w:rFonts w:ascii="Aptos" w:eastAsia="Aptos" w:hAnsi="Aptos" w:cs="Aptos"/>
          <w:color w:val="7030A0"/>
        </w:rPr>
        <w:t>-</w:t>
      </w:r>
      <w:r>
        <w:rPr>
          <w:rFonts w:ascii="Aptos" w:eastAsia="Aptos" w:hAnsi="Aptos" w:cs="Aptos"/>
          <w:color w:val="7030A0"/>
        </w:rPr>
        <w:t xml:space="preserve">builds </w:t>
      </w:r>
      <w:r w:rsidR="000C2F18">
        <w:rPr>
          <w:rFonts w:ascii="Aptos" w:eastAsia="Aptos" w:hAnsi="Aptos" w:cs="Aptos"/>
          <w:color w:val="7030A0"/>
        </w:rPr>
        <w:t>i</w:t>
      </w:r>
      <w:r>
        <w:rPr>
          <w:rFonts w:ascii="Aptos" w:eastAsia="Aptos" w:hAnsi="Aptos" w:cs="Aptos"/>
          <w:color w:val="7030A0"/>
        </w:rPr>
        <w:t>ncluding a condition report (snagging list) once the property is built would help ensure building safety. The New Homes Quality Scheme does include a pre-completion condition report but this is voluntary and we understand there are developers who will not support pre-completion surveys because they know their build quality is not sufficient due to the reductions in margins caused by the current restrictive planning requirements, cost of materials and cost of labour.</w:t>
      </w:r>
    </w:p>
    <w:p w14:paraId="0000002E" w14:textId="77777777" w:rsidR="006E4CBF" w:rsidRPr="00ED672A" w:rsidRDefault="00F24F9B" w:rsidP="00ED672A">
      <w:pPr>
        <w:pStyle w:val="Heading2"/>
        <w:rPr>
          <w:rFonts w:ascii="Aptos" w:hAnsi="Aptos"/>
          <w:sz w:val="22"/>
        </w:rPr>
      </w:pPr>
      <w:bookmarkStart w:id="12" w:name="_Toc215491992"/>
      <w:r w:rsidRPr="00ED672A">
        <w:rPr>
          <w:rFonts w:ascii="Aptos" w:hAnsi="Aptos"/>
          <w:sz w:val="22"/>
        </w:rPr>
        <w:t>Question 9</w:t>
      </w:r>
      <w:bookmarkEnd w:id="12"/>
    </w:p>
    <w:p w14:paraId="0000002F" w14:textId="77777777" w:rsidR="006E4CBF" w:rsidRDefault="00F24F9B">
      <w:pPr>
        <w:rPr>
          <w:rFonts w:ascii="Aptos" w:eastAsia="Aptos" w:hAnsi="Aptos" w:cs="Aptos"/>
        </w:rPr>
      </w:pPr>
      <w:r>
        <w:rPr>
          <w:rFonts w:ascii="Aptos" w:eastAsia="Aptos" w:hAnsi="Aptos" w:cs="Aptos"/>
        </w:rPr>
        <w:t xml:space="preserve">What steps should government take to ensure that conveyancing lawyers, estate agents and surveyors have the capacity and capability to implement this change? </w:t>
      </w:r>
    </w:p>
    <w:p w14:paraId="00000030" w14:textId="77777777" w:rsidR="006E4CBF" w:rsidRDefault="00F24F9B">
      <w:pPr>
        <w:rPr>
          <w:rFonts w:ascii="Aptos" w:eastAsia="Aptos" w:hAnsi="Aptos" w:cs="Aptos"/>
          <w:color w:val="7030A0"/>
        </w:rPr>
      </w:pPr>
      <w:r>
        <w:rPr>
          <w:rFonts w:ascii="Aptos" w:eastAsia="Aptos" w:hAnsi="Aptos" w:cs="Aptos"/>
          <w:color w:val="7030A0"/>
        </w:rPr>
        <w:t xml:space="preserve">By aligning data standards and ensuring legal clarity around reliance and liability, the government can help the key sectors referenced. </w:t>
      </w:r>
    </w:p>
    <w:p w14:paraId="00000031" w14:textId="231B4FF3" w:rsidR="006E4CBF" w:rsidRDefault="00F24F9B">
      <w:pPr>
        <w:rPr>
          <w:rFonts w:ascii="Aptos" w:eastAsia="Aptos" w:hAnsi="Aptos" w:cs="Aptos"/>
          <w:color w:val="7030A0"/>
        </w:rPr>
      </w:pPr>
      <w:r>
        <w:rPr>
          <w:rFonts w:ascii="Aptos" w:eastAsia="Aptos" w:hAnsi="Aptos" w:cs="Aptos"/>
          <w:color w:val="7030A0"/>
        </w:rPr>
        <w:t>In the case of conveyancing lawyers, the seller’s conveyancing lawyer could transfer the resource from dealing with additional enquiries relating to missing or inconsistent data</w:t>
      </w:r>
      <w:r w:rsidR="000C2F18">
        <w:rPr>
          <w:rFonts w:ascii="Aptos" w:eastAsia="Aptos" w:hAnsi="Aptos" w:cs="Aptos"/>
          <w:color w:val="7030A0"/>
        </w:rPr>
        <w:t>,</w:t>
      </w:r>
      <w:r>
        <w:rPr>
          <w:rFonts w:ascii="Aptos" w:eastAsia="Aptos" w:hAnsi="Aptos" w:cs="Aptos"/>
          <w:color w:val="7030A0"/>
        </w:rPr>
        <w:t xml:space="preserve"> to reviewing the data and identifying the Material Information. Where they identify there are legal issues with the property that might affect the value, for example a short lease or the ability to market to the full market, they can provide a quote for the cost to resolve the issue where it is resolvable; or they can manage the expectations of the seller as to the impact, for example</w:t>
      </w:r>
      <w:r w:rsidR="000C2F18">
        <w:rPr>
          <w:rFonts w:ascii="Aptos" w:eastAsia="Aptos" w:hAnsi="Aptos" w:cs="Aptos"/>
          <w:color w:val="7030A0"/>
        </w:rPr>
        <w:t>,</w:t>
      </w:r>
      <w:r>
        <w:rPr>
          <w:rFonts w:ascii="Aptos" w:eastAsia="Aptos" w:hAnsi="Aptos" w:cs="Aptos"/>
          <w:color w:val="7030A0"/>
        </w:rPr>
        <w:t xml:space="preserve"> delaying the transaction.</w:t>
      </w:r>
    </w:p>
    <w:p w14:paraId="1A774C8A" w14:textId="4F8647C4" w:rsidR="002A6984" w:rsidRPr="002A6984" w:rsidRDefault="002A6984">
      <w:pPr>
        <w:rPr>
          <w:rFonts w:ascii="Aptos" w:hAnsi="Aptos"/>
          <w:color w:val="8064A2" w:themeColor="accent4"/>
        </w:rPr>
      </w:pPr>
      <w:r w:rsidRPr="002A6984">
        <w:rPr>
          <w:rFonts w:ascii="Aptos" w:hAnsi="Aptos"/>
          <w:color w:val="8064A2" w:themeColor="accent4"/>
        </w:rPr>
        <w:t>Where the cost of resolving an issue is material, sellers may choose to defer doing so, depending on the balance they see between cost, timescale and certainty.</w:t>
      </w:r>
    </w:p>
    <w:p w14:paraId="00000032" w14:textId="018BB0B3" w:rsidR="006E4CBF" w:rsidRDefault="00F24F9B">
      <w:pPr>
        <w:rPr>
          <w:rFonts w:ascii="Aptos" w:eastAsia="Aptos" w:hAnsi="Aptos" w:cs="Aptos"/>
          <w:color w:val="7030A0"/>
        </w:rPr>
      </w:pPr>
      <w:r>
        <w:rPr>
          <w:rFonts w:ascii="Aptos" w:eastAsia="Aptos" w:hAnsi="Aptos" w:cs="Aptos"/>
          <w:color w:val="7030A0"/>
        </w:rPr>
        <w:t>The time and cost of resolving an issue before a buyer is found is far less than when you have to put everything through the buyer</w:t>
      </w:r>
      <w:r w:rsidR="000C2F18">
        <w:rPr>
          <w:rFonts w:ascii="Aptos" w:eastAsia="Aptos" w:hAnsi="Aptos" w:cs="Aptos"/>
          <w:color w:val="7030A0"/>
        </w:rPr>
        <w:t>,</w:t>
      </w:r>
      <w:r>
        <w:rPr>
          <w:rFonts w:ascii="Aptos" w:eastAsia="Aptos" w:hAnsi="Aptos" w:cs="Aptos"/>
          <w:color w:val="7030A0"/>
        </w:rPr>
        <w:t xml:space="preserve"> their conveyancing lawyer and lender before proceeding</w:t>
      </w:r>
      <w:r w:rsidR="00DD0FEB">
        <w:rPr>
          <w:rFonts w:ascii="Aptos" w:eastAsia="Aptos" w:hAnsi="Aptos" w:cs="Aptos"/>
          <w:color w:val="7030A0"/>
        </w:rPr>
        <w:t xml:space="preserve">. </w:t>
      </w:r>
      <w:r>
        <w:rPr>
          <w:rFonts w:ascii="Aptos" w:eastAsia="Aptos" w:hAnsi="Aptos" w:cs="Aptos"/>
          <w:color w:val="7030A0"/>
        </w:rPr>
        <w:t xml:space="preserve">What is clear is conveyancing lawyers need to charge sufficient fees to enable their staff to have manageable </w:t>
      </w:r>
      <w:r w:rsidR="00DD0FEB">
        <w:rPr>
          <w:rFonts w:ascii="Aptos" w:eastAsia="Aptos" w:hAnsi="Aptos" w:cs="Aptos"/>
          <w:color w:val="7030A0"/>
        </w:rPr>
        <w:t>caseloads</w:t>
      </w:r>
      <w:r w:rsidR="000C2F18">
        <w:rPr>
          <w:rFonts w:ascii="Aptos" w:eastAsia="Aptos" w:hAnsi="Aptos" w:cs="Aptos"/>
          <w:color w:val="7030A0"/>
        </w:rPr>
        <w:t>,</w:t>
      </w:r>
      <w:r>
        <w:rPr>
          <w:rFonts w:ascii="Aptos" w:eastAsia="Aptos" w:hAnsi="Aptos" w:cs="Aptos"/>
          <w:color w:val="7030A0"/>
        </w:rPr>
        <w:t xml:space="preserve"> and their clients to have a smooth customer journey supported by technology such as ViewMyChain, digital identity and AML systems</w:t>
      </w:r>
      <w:r w:rsidR="000C2F18">
        <w:rPr>
          <w:rFonts w:ascii="Aptos" w:eastAsia="Aptos" w:hAnsi="Aptos" w:cs="Aptos"/>
          <w:color w:val="7030A0"/>
        </w:rPr>
        <w:t>,</w:t>
      </w:r>
      <w:r>
        <w:rPr>
          <w:rFonts w:ascii="Aptos" w:eastAsia="Aptos" w:hAnsi="Aptos" w:cs="Aptos"/>
          <w:color w:val="7030A0"/>
        </w:rPr>
        <w:t xml:space="preserve"> and to afford secure portals to enable the communication of all parties in the chain to achieve an efficient transaction</w:t>
      </w:r>
      <w:r w:rsidR="00DD0FEB">
        <w:rPr>
          <w:rFonts w:ascii="Aptos" w:eastAsia="Aptos" w:hAnsi="Aptos" w:cs="Aptos"/>
          <w:color w:val="7030A0"/>
        </w:rPr>
        <w:t xml:space="preserve">. </w:t>
      </w:r>
    </w:p>
    <w:p w14:paraId="00000033" w14:textId="3A39BEF1" w:rsidR="006E4CBF" w:rsidRPr="000C2F18" w:rsidRDefault="00F24F9B">
      <w:pPr>
        <w:rPr>
          <w:rFonts w:ascii="Aptos" w:eastAsia="Roboto" w:hAnsi="Aptos" w:cs="Roboto"/>
          <w:color w:val="7030A0"/>
          <w:highlight w:val="white"/>
        </w:rPr>
      </w:pPr>
      <w:r w:rsidRPr="000C2F18">
        <w:rPr>
          <w:rFonts w:ascii="Aptos" w:eastAsia="Roboto" w:hAnsi="Aptos" w:cs="Roboto"/>
          <w:color w:val="7030A0"/>
          <w:highlight w:val="white"/>
        </w:rPr>
        <w:t>At a market level, the conveyancing industry needs to maintain/increase capacity by:</w:t>
      </w:r>
    </w:p>
    <w:p w14:paraId="00000034" w14:textId="77777777" w:rsidR="006E4CBF" w:rsidRPr="000C2F18" w:rsidRDefault="00F24F9B">
      <w:pPr>
        <w:rPr>
          <w:rFonts w:ascii="Aptos" w:eastAsia="Roboto" w:hAnsi="Aptos" w:cs="Roboto"/>
          <w:color w:val="7030A0"/>
          <w:highlight w:val="white"/>
        </w:rPr>
      </w:pPr>
      <w:r w:rsidRPr="000C2F18">
        <w:rPr>
          <w:rFonts w:ascii="Aptos" w:eastAsia="Roboto" w:hAnsi="Aptos" w:cs="Roboto"/>
          <w:color w:val="7030A0"/>
          <w:highlight w:val="white"/>
        </w:rPr>
        <w:t>a) Recruiting, retaining and training thousands of new conveyancers to replace the demographic bubble in conveyancing stemming from the explosion in transaction volumes in the late 1980s, as they flow through to retirement (early or otherwise).</w:t>
      </w:r>
    </w:p>
    <w:p w14:paraId="00000036" w14:textId="545EF898" w:rsidR="006E4CBF" w:rsidRPr="000C2F18" w:rsidRDefault="00F24F9B">
      <w:pPr>
        <w:rPr>
          <w:rFonts w:ascii="Aptos" w:eastAsia="Roboto" w:hAnsi="Aptos" w:cs="Roboto"/>
          <w:color w:val="7030A0"/>
          <w:highlight w:val="white"/>
        </w:rPr>
      </w:pPr>
      <w:r w:rsidRPr="000C2F18">
        <w:rPr>
          <w:rFonts w:ascii="Aptos" w:eastAsia="Roboto" w:hAnsi="Aptos" w:cs="Roboto"/>
          <w:color w:val="7030A0"/>
          <w:highlight w:val="white"/>
        </w:rPr>
        <w:t xml:space="preserve">b) Adopting technology and approaches that drive efficiency, supporting conveyancing staff. The relative capacity of the conveyancing sector is a critical determinant of transaction times. </w:t>
      </w:r>
    </w:p>
    <w:p w14:paraId="00000037" w14:textId="77777777" w:rsidR="006E4CBF" w:rsidRPr="000C2F18" w:rsidRDefault="00F24F9B">
      <w:pPr>
        <w:rPr>
          <w:rFonts w:ascii="Aptos" w:eastAsia="Roboto" w:hAnsi="Aptos" w:cs="Roboto"/>
          <w:color w:val="7030A0"/>
          <w:highlight w:val="white"/>
        </w:rPr>
      </w:pPr>
      <w:r w:rsidRPr="000C2F18">
        <w:rPr>
          <w:rFonts w:ascii="Aptos" w:eastAsia="Roboto" w:hAnsi="Aptos" w:cs="Roboto"/>
          <w:color w:val="7030A0"/>
          <w:highlight w:val="white"/>
        </w:rPr>
        <w:t xml:space="preserve">Government can help by: </w:t>
      </w:r>
    </w:p>
    <w:p w14:paraId="00000038" w14:textId="77777777" w:rsidR="006E4CBF" w:rsidRPr="000C2F18" w:rsidRDefault="00F24F9B">
      <w:pPr>
        <w:rPr>
          <w:rFonts w:ascii="Aptos" w:eastAsia="Roboto" w:hAnsi="Aptos" w:cs="Roboto"/>
          <w:color w:val="7030A0"/>
          <w:highlight w:val="white"/>
        </w:rPr>
      </w:pPr>
      <w:r w:rsidRPr="000C2F18">
        <w:rPr>
          <w:rFonts w:ascii="Aptos" w:eastAsia="Roboto" w:hAnsi="Aptos" w:cs="Roboto"/>
          <w:color w:val="7030A0"/>
          <w:highlight w:val="white"/>
        </w:rPr>
        <w:t>a) Supporting and promoting education and training to help recruit and train a new generation of Conveyancers and Surveyors</w:t>
      </w:r>
    </w:p>
    <w:p w14:paraId="00000039" w14:textId="07B1CE20" w:rsidR="006E4CBF" w:rsidRPr="000C2F18" w:rsidRDefault="00F24F9B">
      <w:pPr>
        <w:rPr>
          <w:rFonts w:ascii="Aptos" w:eastAsia="Aptos" w:hAnsi="Aptos" w:cs="Aptos"/>
          <w:color w:val="7030A0"/>
        </w:rPr>
      </w:pPr>
      <w:r w:rsidRPr="000C2F18">
        <w:rPr>
          <w:rFonts w:ascii="Aptos" w:eastAsia="Roboto" w:hAnsi="Aptos" w:cs="Roboto"/>
          <w:color w:val="7030A0"/>
          <w:highlight w:val="white"/>
        </w:rPr>
        <w:t xml:space="preserve">b) Ensuring </w:t>
      </w:r>
      <w:r w:rsidR="000C2F18">
        <w:rPr>
          <w:rFonts w:ascii="Aptos" w:eastAsia="Roboto" w:hAnsi="Aptos" w:cs="Roboto"/>
          <w:color w:val="7030A0"/>
          <w:highlight w:val="white"/>
        </w:rPr>
        <w:t xml:space="preserve">the </w:t>
      </w:r>
      <w:r w:rsidRPr="000C2F18">
        <w:rPr>
          <w:rFonts w:ascii="Aptos" w:eastAsia="Roboto" w:hAnsi="Aptos" w:cs="Roboto"/>
          <w:color w:val="7030A0"/>
          <w:highlight w:val="white"/>
        </w:rPr>
        <w:t>measures being considered, and their implementation</w:t>
      </w:r>
      <w:r w:rsidR="000C2F18">
        <w:rPr>
          <w:rFonts w:ascii="Aptos" w:eastAsia="Roboto" w:hAnsi="Aptos" w:cs="Roboto"/>
          <w:color w:val="7030A0"/>
          <w:highlight w:val="white"/>
        </w:rPr>
        <w:t>,</w:t>
      </w:r>
      <w:r w:rsidRPr="000C2F18">
        <w:rPr>
          <w:rFonts w:ascii="Aptos" w:eastAsia="Roboto" w:hAnsi="Aptos" w:cs="Roboto"/>
          <w:color w:val="7030A0"/>
          <w:highlight w:val="white"/>
        </w:rPr>
        <w:t xml:space="preserve"> do not exacerbate the capacity position, making careers in conveyancing less attractive or accelerating the departure from the sector of more conveyancers.</w:t>
      </w:r>
    </w:p>
    <w:p w14:paraId="0000003A" w14:textId="77777777" w:rsidR="006E4CBF" w:rsidRDefault="00F24F9B">
      <w:pPr>
        <w:rPr>
          <w:rFonts w:ascii="Aptos" w:eastAsia="Aptos" w:hAnsi="Aptos" w:cs="Aptos"/>
          <w:color w:val="7030A0"/>
        </w:rPr>
      </w:pPr>
      <w:r>
        <w:rPr>
          <w:rFonts w:ascii="Aptos" w:eastAsia="Aptos" w:hAnsi="Aptos" w:cs="Aptos"/>
          <w:color w:val="7030A0"/>
        </w:rPr>
        <w:t>Mandatory qualifications for, and the regulation of, estate agents will ensure they know which professionals need to be engaged to enable them to comply with the law requiring them to advertise with Material Information.</w:t>
      </w:r>
    </w:p>
    <w:p w14:paraId="0000003B" w14:textId="0C01EC18" w:rsidR="006E4CBF" w:rsidRDefault="00F24F9B">
      <w:pPr>
        <w:rPr>
          <w:rFonts w:ascii="Aptos" w:eastAsia="Aptos" w:hAnsi="Aptos" w:cs="Aptos"/>
          <w:color w:val="7030A0"/>
        </w:rPr>
      </w:pPr>
      <w:r>
        <w:rPr>
          <w:rFonts w:ascii="Aptos" w:eastAsia="Aptos" w:hAnsi="Aptos" w:cs="Aptos"/>
          <w:color w:val="7030A0"/>
        </w:rPr>
        <w:t>Enforcement without complaint will be key. By conducting audits the regulator will be able to pick up behaviors</w:t>
      </w:r>
      <w:r w:rsidR="000C2F18">
        <w:rPr>
          <w:rFonts w:ascii="Aptos" w:eastAsia="Aptos" w:hAnsi="Aptos" w:cs="Aptos"/>
          <w:color w:val="7030A0"/>
        </w:rPr>
        <w:t xml:space="preserve"> -</w:t>
      </w:r>
      <w:r>
        <w:rPr>
          <w:rFonts w:ascii="Aptos" w:eastAsia="Aptos" w:hAnsi="Aptos" w:cs="Aptos"/>
          <w:color w:val="7030A0"/>
        </w:rPr>
        <w:t xml:space="preserve"> like </w:t>
      </w:r>
      <w:r w:rsidR="002A6984">
        <w:rPr>
          <w:rFonts w:ascii="Aptos" w:eastAsia="Aptos" w:hAnsi="Aptos" w:cs="Aptos"/>
          <w:color w:val="7030A0"/>
        </w:rPr>
        <w:t>failure to provide Material Information</w:t>
      </w:r>
      <w:r w:rsidR="000C2F18">
        <w:rPr>
          <w:rFonts w:ascii="Aptos" w:eastAsia="Aptos" w:hAnsi="Aptos" w:cs="Aptos"/>
          <w:color w:val="7030A0"/>
        </w:rPr>
        <w:t xml:space="preserve"> -</w:t>
      </w:r>
      <w:r>
        <w:rPr>
          <w:rFonts w:ascii="Aptos" w:eastAsia="Aptos" w:hAnsi="Aptos" w:cs="Aptos"/>
          <w:color w:val="7030A0"/>
        </w:rPr>
        <w:t xml:space="preserve"> and take action to prevent them happening again to the detriment of the consumers. Enforcement in these cases can simply be requesting the agent update their processes to comply rather than costly fines.</w:t>
      </w:r>
    </w:p>
    <w:p w14:paraId="0000003C" w14:textId="5F5F846C" w:rsidR="006E4CBF" w:rsidRDefault="00F24F9B">
      <w:pPr>
        <w:rPr>
          <w:rFonts w:ascii="Aptos" w:eastAsia="Aptos" w:hAnsi="Aptos" w:cs="Aptos"/>
          <w:color w:val="7030A0"/>
        </w:rPr>
      </w:pPr>
      <w:r>
        <w:rPr>
          <w:rFonts w:ascii="Aptos" w:eastAsia="Aptos" w:hAnsi="Aptos" w:cs="Aptos"/>
          <w:color w:val="7030A0"/>
        </w:rPr>
        <w:t>Many professionals feel out of their depth with technology and undertaking the due diligence is time</w:t>
      </w:r>
      <w:r w:rsidR="00902B1F">
        <w:rPr>
          <w:rFonts w:ascii="Aptos" w:eastAsia="Aptos" w:hAnsi="Aptos" w:cs="Aptos"/>
          <w:color w:val="7030A0"/>
        </w:rPr>
        <w:t>-</w:t>
      </w:r>
      <w:r>
        <w:rPr>
          <w:rFonts w:ascii="Aptos" w:eastAsia="Aptos" w:hAnsi="Aptos" w:cs="Aptos"/>
          <w:color w:val="7030A0"/>
        </w:rPr>
        <w:t>consuming and costly to ensure they can trust the supplier is reliable and cyber secure</w:t>
      </w:r>
      <w:r w:rsidR="00DD0FEB">
        <w:rPr>
          <w:rFonts w:ascii="Aptos" w:eastAsia="Aptos" w:hAnsi="Aptos" w:cs="Aptos"/>
          <w:color w:val="7030A0"/>
        </w:rPr>
        <w:t xml:space="preserve">. </w:t>
      </w:r>
      <w:r>
        <w:rPr>
          <w:rFonts w:ascii="Aptos" w:eastAsia="Aptos" w:hAnsi="Aptos" w:cs="Aptos"/>
          <w:color w:val="7030A0"/>
        </w:rPr>
        <w:t xml:space="preserve">Data standards and a </w:t>
      </w:r>
      <w:r w:rsidR="00902B1F">
        <w:rPr>
          <w:rFonts w:ascii="Aptos" w:eastAsia="Aptos" w:hAnsi="Aptos" w:cs="Aptos"/>
          <w:color w:val="7030A0"/>
        </w:rPr>
        <w:t>‘’k</w:t>
      </w:r>
      <w:r>
        <w:rPr>
          <w:rFonts w:ascii="Aptos" w:eastAsia="Aptos" w:hAnsi="Aptos" w:cs="Aptos"/>
          <w:color w:val="7030A0"/>
        </w:rPr>
        <w:t>itemark</w:t>
      </w:r>
      <w:r w:rsidR="00902B1F">
        <w:rPr>
          <w:rFonts w:ascii="Aptos" w:eastAsia="Aptos" w:hAnsi="Aptos" w:cs="Aptos"/>
          <w:color w:val="7030A0"/>
        </w:rPr>
        <w:t>’</w:t>
      </w:r>
      <w:r>
        <w:rPr>
          <w:rFonts w:ascii="Aptos" w:eastAsia="Aptos" w:hAnsi="Aptos" w:cs="Aptos"/>
          <w:color w:val="7030A0"/>
        </w:rPr>
        <w:t xml:space="preserve"> would make this process easier for them to undertake.</w:t>
      </w:r>
    </w:p>
    <w:p w14:paraId="74ED13D2" w14:textId="77777777" w:rsidR="00BD29DE" w:rsidRDefault="00BD29DE">
      <w:pPr>
        <w:rPr>
          <w:rFonts w:ascii="Aptos" w:eastAsia="Calibri" w:hAnsi="Aptos" w:cs="Calibri"/>
          <w:b/>
          <w:bCs/>
          <w:color w:val="4F81BD"/>
          <w:szCs w:val="26"/>
        </w:rPr>
      </w:pPr>
      <w:bookmarkStart w:id="13" w:name="_Toc215491993"/>
      <w:r>
        <w:rPr>
          <w:rFonts w:ascii="Aptos" w:hAnsi="Aptos"/>
        </w:rPr>
        <w:br w:type="page"/>
      </w:r>
    </w:p>
    <w:p w14:paraId="0000003D" w14:textId="23EDCD63" w:rsidR="006E4CBF" w:rsidRPr="00ED672A" w:rsidRDefault="00F24F9B" w:rsidP="00ED672A">
      <w:pPr>
        <w:pStyle w:val="Heading2"/>
        <w:rPr>
          <w:rFonts w:ascii="Aptos" w:hAnsi="Aptos"/>
          <w:sz w:val="22"/>
        </w:rPr>
      </w:pPr>
      <w:r w:rsidRPr="00ED672A">
        <w:rPr>
          <w:rFonts w:ascii="Aptos" w:hAnsi="Aptos"/>
          <w:sz w:val="22"/>
        </w:rPr>
        <w:t>Question 10</w:t>
      </w:r>
      <w:bookmarkEnd w:id="13"/>
    </w:p>
    <w:p w14:paraId="0000003E" w14:textId="77777777" w:rsidR="006E4CBF" w:rsidRDefault="00F24F9B">
      <w:pPr>
        <w:rPr>
          <w:rFonts w:ascii="Aptos" w:eastAsia="Aptos" w:hAnsi="Aptos" w:cs="Aptos"/>
        </w:rPr>
      </w:pPr>
      <w:r>
        <w:rPr>
          <w:rFonts w:ascii="Aptos" w:eastAsia="Aptos" w:hAnsi="Aptos" w:cs="Aptos"/>
        </w:rPr>
        <w:t>What resources and additional training would be needed in order to implement these changes?</w:t>
      </w:r>
    </w:p>
    <w:p w14:paraId="0000003F" w14:textId="77777777" w:rsidR="006E4CBF" w:rsidRDefault="00F24F9B">
      <w:pPr>
        <w:rPr>
          <w:rFonts w:ascii="Aptos" w:eastAsia="Aptos" w:hAnsi="Aptos" w:cs="Aptos"/>
          <w:color w:val="7030A0"/>
        </w:rPr>
      </w:pPr>
      <w:r>
        <w:rPr>
          <w:rFonts w:ascii="Aptos" w:eastAsia="Aptos" w:hAnsi="Aptos" w:cs="Aptos"/>
          <w:color w:val="7030A0"/>
        </w:rPr>
        <w:t>Mandatory qualifications for, and the regulation of, estate agents will ensure they know which professionals need to be engaged to enable them to comply with the law requiring them to advertise with Material Information.</w:t>
      </w:r>
    </w:p>
    <w:p w14:paraId="00000040" w14:textId="77777777" w:rsidR="006E4CBF" w:rsidRDefault="00F24F9B">
      <w:pPr>
        <w:rPr>
          <w:rFonts w:ascii="Aptos" w:eastAsia="Aptos" w:hAnsi="Aptos" w:cs="Aptos"/>
          <w:color w:val="7030A0"/>
        </w:rPr>
      </w:pPr>
      <w:r>
        <w:rPr>
          <w:rFonts w:ascii="Aptos" w:eastAsia="Aptos" w:hAnsi="Aptos" w:cs="Aptos"/>
          <w:color w:val="7030A0"/>
        </w:rPr>
        <w:t xml:space="preserve">Training in digital ID, data provenance, and AI-assisted due diligence. </w:t>
      </w:r>
    </w:p>
    <w:p w14:paraId="00000041" w14:textId="68271ACC" w:rsidR="006E4CBF" w:rsidRDefault="00F24F9B">
      <w:pPr>
        <w:rPr>
          <w:rFonts w:ascii="Aptos" w:eastAsia="Aptos" w:hAnsi="Aptos" w:cs="Aptos"/>
          <w:color w:val="7030A0"/>
        </w:rPr>
      </w:pPr>
      <w:r>
        <w:rPr>
          <w:rFonts w:ascii="Aptos" w:eastAsia="Aptos" w:hAnsi="Aptos" w:cs="Aptos"/>
          <w:color w:val="7030A0"/>
        </w:rPr>
        <w:t xml:space="preserve">There will need to be clear guidance on providers, to enable professionals to understand quickly whether a provider meets the due diligence requirements for that service. If a </w:t>
      </w:r>
      <w:r w:rsidR="00902B1F">
        <w:rPr>
          <w:rFonts w:ascii="Aptos" w:eastAsia="Aptos" w:hAnsi="Aptos" w:cs="Aptos"/>
          <w:color w:val="7030A0"/>
        </w:rPr>
        <w:t>k</w:t>
      </w:r>
      <w:r>
        <w:rPr>
          <w:rFonts w:ascii="Aptos" w:eastAsia="Aptos" w:hAnsi="Aptos" w:cs="Aptos"/>
          <w:color w:val="7030A0"/>
        </w:rPr>
        <w:t>itemark system were in place that would give conveyancers confidence. Government and regulators could provide resources to support firms in moving to a digital world such as guidelines and case studies. Firms could also be incentivised to do so. Perhaps a digital conveyancing accreditation (approved by all regulators and not just one), would identify for consumers and professional indemnity insurers whether the firm used digital services.</w:t>
      </w:r>
    </w:p>
    <w:p w14:paraId="00000042" w14:textId="3F3BE73D" w:rsidR="006E4CBF" w:rsidRDefault="00F24F9B">
      <w:pPr>
        <w:rPr>
          <w:rFonts w:ascii="Aptos" w:eastAsia="Aptos" w:hAnsi="Aptos" w:cs="Aptos"/>
          <w:color w:val="7030A0"/>
        </w:rPr>
      </w:pPr>
      <w:r>
        <w:rPr>
          <w:rFonts w:ascii="Aptos" w:eastAsia="Aptos" w:hAnsi="Aptos" w:cs="Aptos"/>
          <w:color w:val="7030A0"/>
        </w:rPr>
        <w:t>The current cost of PropertyMark training of estate agents is usually under £300. Once regulated they will need to keep up to date on the law impacting them, as happens with other regulated professionals currently and which can be done with training webinars, many of which are currently free.</w:t>
      </w:r>
    </w:p>
    <w:p w14:paraId="074395FC" w14:textId="77777777" w:rsidR="00E4174E" w:rsidRPr="00E4174E" w:rsidRDefault="00E4174E" w:rsidP="00E4174E">
      <w:pPr>
        <w:pStyle w:val="Heading2"/>
      </w:pPr>
      <w:bookmarkStart w:id="14" w:name="_Toc215491994"/>
      <w:r w:rsidRPr="00E4174E">
        <w:t>D. Professionalising property agents</w:t>
      </w:r>
      <w:bookmarkEnd w:id="14"/>
    </w:p>
    <w:p w14:paraId="00000043" w14:textId="77777777" w:rsidR="006E4CBF" w:rsidRPr="00ED672A" w:rsidRDefault="00F24F9B" w:rsidP="00ED672A">
      <w:pPr>
        <w:pStyle w:val="Heading2"/>
        <w:rPr>
          <w:rFonts w:ascii="Aptos" w:hAnsi="Aptos"/>
          <w:sz w:val="22"/>
        </w:rPr>
      </w:pPr>
      <w:bookmarkStart w:id="15" w:name="_Toc215491995"/>
      <w:r w:rsidRPr="00ED672A">
        <w:rPr>
          <w:rFonts w:ascii="Aptos" w:hAnsi="Aptos"/>
          <w:sz w:val="22"/>
        </w:rPr>
        <w:t>Question 11</w:t>
      </w:r>
      <w:bookmarkEnd w:id="15"/>
    </w:p>
    <w:p w14:paraId="00000044" w14:textId="77777777" w:rsidR="006E4CBF" w:rsidRDefault="00F24F9B">
      <w:pPr>
        <w:rPr>
          <w:rFonts w:ascii="Aptos" w:eastAsia="Aptos" w:hAnsi="Aptos" w:cs="Aptos"/>
        </w:rPr>
      </w:pPr>
      <w:r>
        <w:rPr>
          <w:rFonts w:ascii="Aptos" w:eastAsia="Aptos" w:hAnsi="Aptos" w:cs="Aptos"/>
        </w:rPr>
        <w:t>Do you agree that we should intervene to drive up standards amongst, and improve trust in, property agents?</w:t>
      </w:r>
    </w:p>
    <w:p w14:paraId="00000045" w14:textId="77777777" w:rsidR="006E4CBF" w:rsidRDefault="00F24F9B">
      <w:pPr>
        <w:rPr>
          <w:rFonts w:ascii="Aptos" w:eastAsia="Aptos" w:hAnsi="Aptos" w:cs="Aptos"/>
          <w:color w:val="7030A0"/>
        </w:rPr>
      </w:pPr>
      <w:r>
        <w:rPr>
          <w:rFonts w:ascii="Aptos" w:eastAsia="Aptos" w:hAnsi="Aptos" w:cs="Aptos"/>
          <w:color w:val="7030A0"/>
        </w:rPr>
        <w:t>Yes. Property agents should meet minimum standards like any other regulated profession.</w:t>
      </w:r>
    </w:p>
    <w:p w14:paraId="40558946" w14:textId="29C5CCA6" w:rsidR="00884F9E" w:rsidRDefault="00F24F9B">
      <w:pPr>
        <w:rPr>
          <w:rFonts w:ascii="Aptos" w:eastAsia="Aptos" w:hAnsi="Aptos" w:cs="Aptos"/>
          <w:color w:val="7030A0"/>
        </w:rPr>
      </w:pPr>
      <w:r>
        <w:rPr>
          <w:rFonts w:ascii="Aptos" w:eastAsia="Aptos" w:hAnsi="Aptos" w:cs="Aptos"/>
          <w:color w:val="7030A0"/>
        </w:rPr>
        <w:t>The issue we currently have is National Trading Standards (NTS) can only deal with a complaint, but a consumer will not complain about an agent to NTS if they think the agent won’t then support an offer from them on a property</w:t>
      </w:r>
      <w:r w:rsidR="00DD0FEB">
        <w:rPr>
          <w:rFonts w:ascii="Aptos" w:eastAsia="Aptos" w:hAnsi="Aptos" w:cs="Aptos"/>
          <w:color w:val="7030A0"/>
        </w:rPr>
        <w:t xml:space="preserve">. </w:t>
      </w:r>
      <w:r>
        <w:rPr>
          <w:rFonts w:ascii="Aptos" w:eastAsia="Aptos" w:hAnsi="Aptos" w:cs="Aptos"/>
          <w:color w:val="7030A0"/>
        </w:rPr>
        <w:t xml:space="preserve">Or, specifically in the case of rental property, it could result in them being made homeless. </w:t>
      </w:r>
    </w:p>
    <w:p w14:paraId="0F3E290D" w14:textId="11FDD418" w:rsidR="00884F9E" w:rsidRDefault="00884F9E">
      <w:pPr>
        <w:rPr>
          <w:rFonts w:ascii="Aptos" w:eastAsia="Aptos" w:hAnsi="Aptos" w:cs="Aptos"/>
          <w:color w:val="7030A0"/>
        </w:rPr>
      </w:pPr>
      <w:r>
        <w:rPr>
          <w:rFonts w:ascii="Aptos" w:eastAsia="Aptos" w:hAnsi="Aptos" w:cs="Aptos"/>
          <w:color w:val="7030A0"/>
        </w:rPr>
        <w:t>The process to get a complaint to NTS is longwinded, requiring a complaint to the agent, then to their redress scheme and then to Citizen’s Advice who might pass it on to NTS.</w:t>
      </w:r>
    </w:p>
    <w:p w14:paraId="00000046" w14:textId="51BE62ED" w:rsidR="006E4CBF" w:rsidRDefault="00F24F9B">
      <w:pPr>
        <w:rPr>
          <w:rFonts w:ascii="Aptos" w:eastAsia="Aptos" w:hAnsi="Aptos" w:cs="Aptos"/>
          <w:color w:val="7030A0"/>
        </w:rPr>
      </w:pPr>
      <w:r>
        <w:rPr>
          <w:rFonts w:ascii="Aptos" w:eastAsia="Aptos" w:hAnsi="Aptos" w:cs="Aptos"/>
          <w:color w:val="7030A0"/>
        </w:rPr>
        <w:t>It is only by requiring regulation of agents that they can be audited for compliance with the law.</w:t>
      </w:r>
    </w:p>
    <w:p w14:paraId="00000047" w14:textId="175231E1" w:rsidR="006E4CBF" w:rsidRDefault="00F24F9B">
      <w:pPr>
        <w:rPr>
          <w:rFonts w:ascii="Aptos" w:eastAsia="Aptos" w:hAnsi="Aptos" w:cs="Aptos"/>
          <w:color w:val="7030A0"/>
        </w:rPr>
      </w:pPr>
      <w:r>
        <w:rPr>
          <w:rFonts w:ascii="Aptos" w:eastAsia="Aptos" w:hAnsi="Aptos" w:cs="Aptos"/>
          <w:color w:val="7030A0"/>
        </w:rPr>
        <w:t>Intervention to drive up standards by training and regulation of property agents is futile unless it is enforced</w:t>
      </w:r>
      <w:r w:rsidR="00DD0FEB">
        <w:rPr>
          <w:rFonts w:ascii="Aptos" w:eastAsia="Aptos" w:hAnsi="Aptos" w:cs="Aptos"/>
          <w:color w:val="7030A0"/>
        </w:rPr>
        <w:t xml:space="preserve">. </w:t>
      </w:r>
      <w:r>
        <w:rPr>
          <w:rFonts w:ascii="Aptos" w:eastAsia="Aptos" w:hAnsi="Aptos" w:cs="Aptos"/>
          <w:color w:val="7030A0"/>
        </w:rPr>
        <w:t>This does not mean fining but using AI and auditing to identify non</w:t>
      </w:r>
      <w:r w:rsidR="00902B1F">
        <w:rPr>
          <w:rFonts w:ascii="Aptos" w:eastAsia="Aptos" w:hAnsi="Aptos" w:cs="Aptos"/>
          <w:color w:val="7030A0"/>
        </w:rPr>
        <w:t>-</w:t>
      </w:r>
      <w:r>
        <w:rPr>
          <w:rFonts w:ascii="Aptos" w:eastAsia="Aptos" w:hAnsi="Aptos" w:cs="Aptos"/>
          <w:color w:val="7030A0"/>
        </w:rPr>
        <w:t>compliance – reporting this back to them and requesting undertakings from firms to comply with the law, followed by publishing data on agents’ compliance.</w:t>
      </w:r>
    </w:p>
    <w:p w14:paraId="00000048" w14:textId="77777777" w:rsidR="006E4CBF" w:rsidRPr="00ED672A" w:rsidRDefault="00F24F9B" w:rsidP="00ED672A">
      <w:pPr>
        <w:pStyle w:val="Heading2"/>
        <w:rPr>
          <w:rFonts w:ascii="Aptos" w:hAnsi="Aptos"/>
          <w:sz w:val="22"/>
        </w:rPr>
      </w:pPr>
      <w:bookmarkStart w:id="16" w:name="_Toc215491996"/>
      <w:r w:rsidRPr="00ED672A">
        <w:rPr>
          <w:rFonts w:ascii="Aptos" w:hAnsi="Aptos"/>
          <w:sz w:val="22"/>
        </w:rPr>
        <w:t>Question 12</w:t>
      </w:r>
      <w:bookmarkEnd w:id="16"/>
    </w:p>
    <w:p w14:paraId="00000049" w14:textId="77777777" w:rsidR="006E4CBF" w:rsidRDefault="00F24F9B">
      <w:pPr>
        <w:rPr>
          <w:rFonts w:ascii="Aptos" w:eastAsia="Aptos" w:hAnsi="Aptos" w:cs="Aptos"/>
        </w:rPr>
      </w:pPr>
      <w:r>
        <w:rPr>
          <w:rFonts w:ascii="Aptos" w:eastAsia="Aptos" w:hAnsi="Aptos" w:cs="Aptos"/>
        </w:rPr>
        <w:t>Do you agree with our proposal to bring forward a Code of Practice on a non-statutory basis, and to legislate to put this on a statutory footing in future if necessary? </w:t>
      </w:r>
    </w:p>
    <w:p w14:paraId="0000004A" w14:textId="77777777" w:rsidR="006E4CBF" w:rsidRDefault="00F24F9B">
      <w:pPr>
        <w:rPr>
          <w:rFonts w:ascii="Aptos" w:eastAsia="Aptos" w:hAnsi="Aptos" w:cs="Aptos"/>
          <w:color w:val="7030A0"/>
        </w:rPr>
      </w:pPr>
      <w:r>
        <w:rPr>
          <w:rFonts w:ascii="Aptos" w:eastAsia="Aptos" w:hAnsi="Aptos" w:cs="Aptos"/>
          <w:color w:val="7030A0"/>
        </w:rPr>
        <w:t>Yes. A non-statutory Code is a good start, but urgent legislation will be necessary to ensure compliance and consumer trust.</w:t>
      </w:r>
    </w:p>
    <w:p w14:paraId="0000004B" w14:textId="26605DD5" w:rsidR="006E4CBF" w:rsidRDefault="00F24F9B">
      <w:pPr>
        <w:rPr>
          <w:rFonts w:ascii="Aptos" w:eastAsia="Aptos" w:hAnsi="Aptos" w:cs="Aptos"/>
          <w:color w:val="7030A0"/>
        </w:rPr>
      </w:pPr>
      <w:r>
        <w:rPr>
          <w:rFonts w:ascii="Aptos" w:eastAsia="Aptos" w:hAnsi="Aptos" w:cs="Aptos"/>
          <w:color w:val="7030A0"/>
        </w:rPr>
        <w:t xml:space="preserve">Intervention to drive up standards by training and regulation of property agents is futile unless it is enforced through </w:t>
      </w:r>
      <w:r w:rsidR="00884F9E">
        <w:rPr>
          <w:rFonts w:ascii="Aptos" w:eastAsia="Aptos" w:hAnsi="Aptos" w:cs="Aptos"/>
          <w:color w:val="7030A0"/>
        </w:rPr>
        <w:t xml:space="preserve">regulatory </w:t>
      </w:r>
      <w:r>
        <w:rPr>
          <w:rFonts w:ascii="Aptos" w:eastAsia="Aptos" w:hAnsi="Aptos" w:cs="Aptos"/>
          <w:color w:val="7030A0"/>
        </w:rPr>
        <w:t>auditing and highlighting where they need to improve to comply with the law.</w:t>
      </w:r>
    </w:p>
    <w:p w14:paraId="3EEB50A9" w14:textId="701A821B" w:rsidR="001739F6" w:rsidRPr="00F3170E" w:rsidRDefault="001739F6" w:rsidP="001739F6">
      <w:pPr>
        <w:rPr>
          <w:rFonts w:ascii="Aptos" w:eastAsia="Aptos" w:hAnsi="Aptos" w:cs="Aptos"/>
          <w:color w:val="8064A2" w:themeColor="accent4"/>
        </w:rPr>
      </w:pPr>
      <w:r w:rsidRPr="00F3170E">
        <w:rPr>
          <w:rFonts w:ascii="Aptos" w:eastAsia="Aptos" w:hAnsi="Aptos" w:cs="Aptos"/>
          <w:color w:val="8064A2" w:themeColor="accent4"/>
        </w:rPr>
        <w:t>Phased rollout with monitoring, audits, and feedback will help assess compliance and inform any future statutory provisions. Collaboration with professional bodies, consumer representatives and regulators will enhance credibility and effectiveness.</w:t>
      </w:r>
    </w:p>
    <w:p w14:paraId="463BC744" w14:textId="46257092" w:rsidR="001739F6" w:rsidRPr="00F3170E" w:rsidRDefault="001739F6" w:rsidP="001739F6">
      <w:pPr>
        <w:rPr>
          <w:rFonts w:ascii="Aptos" w:eastAsia="Aptos" w:hAnsi="Aptos" w:cs="Aptos"/>
          <w:color w:val="8064A2" w:themeColor="accent4"/>
        </w:rPr>
      </w:pPr>
      <w:r w:rsidRPr="00F3170E">
        <w:rPr>
          <w:rFonts w:ascii="Aptos" w:eastAsia="Aptos" w:hAnsi="Aptos" w:cs="Aptos"/>
          <w:color w:val="8064A2" w:themeColor="accent4"/>
        </w:rPr>
        <w:t>1.Practical Testing and Feedback</w:t>
      </w:r>
    </w:p>
    <w:p w14:paraId="1EB99CF4" w14:textId="77777777" w:rsidR="001739F6" w:rsidRPr="00F3170E" w:rsidRDefault="001739F6" w:rsidP="001739F6">
      <w:pPr>
        <w:pStyle w:val="ListParagraph"/>
        <w:numPr>
          <w:ilvl w:val="0"/>
          <w:numId w:val="30"/>
        </w:numPr>
        <w:rPr>
          <w:rFonts w:ascii="Aptos" w:eastAsia="Aptos" w:hAnsi="Aptos" w:cs="Aptos"/>
          <w:color w:val="8064A2" w:themeColor="accent4"/>
        </w:rPr>
      </w:pPr>
      <w:r w:rsidRPr="00F3170E">
        <w:rPr>
          <w:rFonts w:ascii="Aptos" w:eastAsia="Aptos" w:hAnsi="Aptos" w:cs="Aptos"/>
          <w:color w:val="8064A2" w:themeColor="accent4"/>
        </w:rPr>
        <w:t>A non-statutory Code allows estate agents, conveyancers, and other stakeholders to familiarise themselves with the standards, implement procedures, and provide feedback before legal obligations are imposed.</w:t>
      </w:r>
    </w:p>
    <w:p w14:paraId="5ADC1F34" w14:textId="77777777" w:rsidR="001739F6" w:rsidRPr="00F3170E" w:rsidRDefault="001739F6" w:rsidP="001739F6">
      <w:pPr>
        <w:pStyle w:val="ListParagraph"/>
        <w:numPr>
          <w:ilvl w:val="0"/>
          <w:numId w:val="30"/>
        </w:numPr>
        <w:rPr>
          <w:rFonts w:ascii="Aptos" w:eastAsia="Aptos" w:hAnsi="Aptos" w:cs="Aptos"/>
          <w:color w:val="8064A2" w:themeColor="accent4"/>
        </w:rPr>
      </w:pPr>
      <w:r w:rsidRPr="00F3170E">
        <w:rPr>
          <w:rFonts w:ascii="Aptos" w:eastAsia="Aptos" w:hAnsi="Aptos" w:cs="Aptos"/>
          <w:color w:val="8064A2" w:themeColor="accent4"/>
        </w:rPr>
        <w:t>Early adoption can highlight practical issues or ambiguities, allowing refinements before statutory enforcement.</w:t>
      </w:r>
    </w:p>
    <w:p w14:paraId="7E4A307F" w14:textId="4C920451" w:rsidR="001739F6" w:rsidRPr="00F3170E" w:rsidRDefault="001739F6" w:rsidP="001739F6">
      <w:pPr>
        <w:rPr>
          <w:rFonts w:ascii="Aptos" w:eastAsia="Aptos" w:hAnsi="Aptos" w:cs="Aptos"/>
          <w:color w:val="8064A2" w:themeColor="accent4"/>
        </w:rPr>
      </w:pPr>
      <w:r w:rsidRPr="00F3170E">
        <w:rPr>
          <w:rFonts w:ascii="Aptos" w:eastAsia="Aptos" w:hAnsi="Aptos" w:cs="Aptos"/>
          <w:color w:val="8064A2" w:themeColor="accent4"/>
        </w:rPr>
        <w:t>2.Flexibility and Industry Engagement</w:t>
      </w:r>
    </w:p>
    <w:p w14:paraId="7451B6B6" w14:textId="77777777" w:rsidR="001739F6" w:rsidRPr="00F3170E" w:rsidRDefault="001739F6" w:rsidP="001739F6">
      <w:pPr>
        <w:pStyle w:val="ListParagraph"/>
        <w:numPr>
          <w:ilvl w:val="0"/>
          <w:numId w:val="31"/>
        </w:numPr>
        <w:rPr>
          <w:rFonts w:ascii="Aptos" w:eastAsia="Aptos" w:hAnsi="Aptos" w:cs="Aptos"/>
          <w:color w:val="8064A2" w:themeColor="accent4"/>
        </w:rPr>
      </w:pPr>
      <w:r w:rsidRPr="00F3170E">
        <w:rPr>
          <w:rFonts w:ascii="Aptos" w:eastAsia="Aptos" w:hAnsi="Aptos" w:cs="Aptos"/>
          <w:color w:val="8064A2" w:themeColor="accent4"/>
        </w:rPr>
        <w:t>A non-statutory Code encourages voluntary compliance initially, fostering buy-in from agents and professional bodies.</w:t>
      </w:r>
    </w:p>
    <w:p w14:paraId="6470B1DD" w14:textId="77777777" w:rsidR="001739F6" w:rsidRPr="00F3170E" w:rsidRDefault="001739F6" w:rsidP="001739F6">
      <w:pPr>
        <w:pStyle w:val="ListParagraph"/>
        <w:numPr>
          <w:ilvl w:val="0"/>
          <w:numId w:val="31"/>
        </w:numPr>
        <w:rPr>
          <w:rFonts w:ascii="Aptos" w:eastAsia="Aptos" w:hAnsi="Aptos" w:cs="Aptos"/>
          <w:color w:val="8064A2" w:themeColor="accent4"/>
        </w:rPr>
      </w:pPr>
      <w:r w:rsidRPr="00F3170E">
        <w:rPr>
          <w:rFonts w:ascii="Aptos" w:eastAsia="Aptos" w:hAnsi="Aptos" w:cs="Aptos"/>
          <w:color w:val="8064A2" w:themeColor="accent4"/>
        </w:rPr>
        <w:t>It supports a collaborative approach, rather than a punitive one, which can improve uptake and consistency.</w:t>
      </w:r>
    </w:p>
    <w:p w14:paraId="6C57E750" w14:textId="10496FC4" w:rsidR="001739F6" w:rsidRPr="00F3170E" w:rsidRDefault="001739F6" w:rsidP="001739F6">
      <w:pPr>
        <w:rPr>
          <w:rFonts w:ascii="Aptos" w:eastAsia="Aptos" w:hAnsi="Aptos" w:cs="Aptos"/>
          <w:color w:val="8064A2" w:themeColor="accent4"/>
        </w:rPr>
      </w:pPr>
      <w:r w:rsidRPr="00F3170E">
        <w:rPr>
          <w:rFonts w:ascii="Aptos" w:eastAsia="Aptos" w:hAnsi="Aptos" w:cs="Aptos"/>
          <w:color w:val="8064A2" w:themeColor="accent4"/>
        </w:rPr>
        <w:t>3.Future Statutory Backing for Enforcement</w:t>
      </w:r>
    </w:p>
    <w:p w14:paraId="739C803F" w14:textId="77777777" w:rsidR="001739F6" w:rsidRPr="00F3170E" w:rsidRDefault="001739F6" w:rsidP="001739F6">
      <w:pPr>
        <w:pStyle w:val="ListParagraph"/>
        <w:numPr>
          <w:ilvl w:val="0"/>
          <w:numId w:val="32"/>
        </w:numPr>
        <w:rPr>
          <w:rFonts w:ascii="Aptos" w:eastAsia="Aptos" w:hAnsi="Aptos" w:cs="Aptos"/>
          <w:color w:val="8064A2" w:themeColor="accent4"/>
        </w:rPr>
      </w:pPr>
      <w:r w:rsidRPr="00F3170E">
        <w:rPr>
          <w:rFonts w:ascii="Aptos" w:eastAsia="Aptos" w:hAnsi="Aptos" w:cs="Aptos"/>
          <w:color w:val="8064A2" w:themeColor="accent4"/>
        </w:rPr>
        <w:t>Retaining the option to make the Code statutory ensures regulatory teeth if voluntary compliance proves insufficient.</w:t>
      </w:r>
    </w:p>
    <w:p w14:paraId="27DDCDA5" w14:textId="168C118D" w:rsidR="001739F6" w:rsidRPr="00F3170E" w:rsidRDefault="001739F6" w:rsidP="001739F6">
      <w:pPr>
        <w:pStyle w:val="ListParagraph"/>
        <w:numPr>
          <w:ilvl w:val="0"/>
          <w:numId w:val="32"/>
        </w:numPr>
        <w:rPr>
          <w:rFonts w:ascii="Aptos" w:eastAsia="Aptos" w:hAnsi="Aptos" w:cs="Aptos"/>
          <w:color w:val="8064A2" w:themeColor="accent4"/>
        </w:rPr>
      </w:pPr>
      <w:r w:rsidRPr="00F3170E">
        <w:rPr>
          <w:rFonts w:ascii="Aptos" w:eastAsia="Aptos" w:hAnsi="Aptos" w:cs="Aptos"/>
          <w:color w:val="8064A2" w:themeColor="accent4"/>
        </w:rPr>
        <w:t>This creates a credible incentive for agents to adhere to professional standards, including material information obligations, training requirements, and best practice processes.</w:t>
      </w:r>
    </w:p>
    <w:p w14:paraId="15D7DB62" w14:textId="77777777" w:rsidR="00BD29DE" w:rsidRDefault="00BD29DE">
      <w:pPr>
        <w:rPr>
          <w:rFonts w:ascii="Aptos" w:eastAsia="Calibri" w:hAnsi="Aptos" w:cs="Calibri"/>
          <w:b/>
          <w:bCs/>
          <w:color w:val="4F81BD"/>
          <w:szCs w:val="26"/>
        </w:rPr>
      </w:pPr>
      <w:bookmarkStart w:id="17" w:name="_Toc215491997"/>
      <w:r>
        <w:rPr>
          <w:rFonts w:ascii="Aptos" w:hAnsi="Aptos"/>
        </w:rPr>
        <w:br w:type="page"/>
      </w:r>
    </w:p>
    <w:p w14:paraId="0000004C" w14:textId="461E5CB8" w:rsidR="006E4CBF" w:rsidRPr="00ED672A" w:rsidRDefault="00F24F9B" w:rsidP="00ED672A">
      <w:pPr>
        <w:pStyle w:val="Heading2"/>
        <w:rPr>
          <w:rFonts w:ascii="Aptos" w:hAnsi="Aptos"/>
          <w:sz w:val="22"/>
        </w:rPr>
      </w:pPr>
      <w:r w:rsidRPr="00ED672A">
        <w:rPr>
          <w:rFonts w:ascii="Aptos" w:hAnsi="Aptos"/>
          <w:sz w:val="22"/>
        </w:rPr>
        <w:t>Question 13</w:t>
      </w:r>
      <w:bookmarkEnd w:id="17"/>
    </w:p>
    <w:p w14:paraId="0000004D" w14:textId="77777777" w:rsidR="006E4CBF" w:rsidRDefault="00F24F9B">
      <w:pPr>
        <w:rPr>
          <w:rFonts w:ascii="Aptos" w:eastAsia="Aptos" w:hAnsi="Aptos" w:cs="Aptos"/>
        </w:rPr>
      </w:pPr>
      <w:r>
        <w:rPr>
          <w:rFonts w:ascii="Aptos" w:eastAsia="Aptos" w:hAnsi="Aptos" w:cs="Aptos"/>
        </w:rPr>
        <w:t>Do you agree with our proposal to consult on mandatory qualifications for estate and lettings agents? </w:t>
      </w:r>
    </w:p>
    <w:p w14:paraId="0000004F" w14:textId="7FDFF238" w:rsidR="006E4CBF" w:rsidRDefault="00F24F9B">
      <w:pPr>
        <w:rPr>
          <w:rFonts w:ascii="Aptos" w:eastAsia="Aptos" w:hAnsi="Aptos" w:cs="Aptos"/>
          <w:color w:val="7030A0"/>
        </w:rPr>
      </w:pPr>
      <w:r>
        <w:rPr>
          <w:rFonts w:ascii="Aptos" w:eastAsia="Aptos" w:hAnsi="Aptos" w:cs="Aptos"/>
          <w:color w:val="7030A0"/>
        </w:rPr>
        <w:t>Yes. Qualifications will lift professional standards and reduce friction for conveyancers downstream.</w:t>
      </w:r>
      <w:r w:rsidR="00902B1F">
        <w:rPr>
          <w:rFonts w:ascii="Aptos" w:eastAsia="Aptos" w:hAnsi="Aptos" w:cs="Aptos"/>
          <w:color w:val="7030A0"/>
        </w:rPr>
        <w:t xml:space="preserve"> </w:t>
      </w:r>
      <w:r>
        <w:rPr>
          <w:rFonts w:ascii="Aptos" w:eastAsia="Aptos" w:hAnsi="Aptos" w:cs="Aptos"/>
          <w:color w:val="7030A0"/>
        </w:rPr>
        <w:t>Once again, enforcement</w:t>
      </w:r>
      <w:r w:rsidR="00902B1F">
        <w:rPr>
          <w:rFonts w:ascii="Aptos" w:eastAsia="Aptos" w:hAnsi="Aptos" w:cs="Aptos"/>
          <w:color w:val="7030A0"/>
        </w:rPr>
        <w:t>.</w:t>
      </w:r>
      <w:r>
        <w:rPr>
          <w:rFonts w:ascii="Aptos" w:eastAsia="Aptos" w:hAnsi="Aptos" w:cs="Aptos"/>
          <w:color w:val="7030A0"/>
        </w:rPr>
        <w:t xml:space="preserve"> Intervention to drive up standards by training and regulation of property agents is futile unless it is enforced.</w:t>
      </w:r>
    </w:p>
    <w:p w14:paraId="00000050" w14:textId="77777777" w:rsidR="006E4CBF" w:rsidRPr="00ED672A" w:rsidRDefault="00F24F9B" w:rsidP="00ED672A">
      <w:pPr>
        <w:pStyle w:val="Heading2"/>
        <w:rPr>
          <w:rFonts w:ascii="Aptos" w:hAnsi="Aptos"/>
          <w:sz w:val="22"/>
        </w:rPr>
      </w:pPr>
      <w:bookmarkStart w:id="18" w:name="_Toc215491998"/>
      <w:r w:rsidRPr="00ED672A">
        <w:rPr>
          <w:rFonts w:ascii="Aptos" w:hAnsi="Aptos"/>
          <w:sz w:val="22"/>
        </w:rPr>
        <w:t>Question 14</w:t>
      </w:r>
      <w:bookmarkEnd w:id="18"/>
    </w:p>
    <w:p w14:paraId="00000051" w14:textId="77777777" w:rsidR="006E4CBF" w:rsidRDefault="00F24F9B">
      <w:pPr>
        <w:rPr>
          <w:rFonts w:ascii="Aptos" w:eastAsia="Aptos" w:hAnsi="Aptos" w:cs="Aptos"/>
        </w:rPr>
      </w:pPr>
      <w:r>
        <w:rPr>
          <w:rFonts w:ascii="Aptos" w:eastAsia="Aptos" w:hAnsi="Aptos" w:cs="Aptos"/>
        </w:rPr>
        <w:t>Are there additional interventions you think government should take to drive up standards amongst property agents? </w:t>
      </w:r>
    </w:p>
    <w:p w14:paraId="00000052" w14:textId="450E541A" w:rsidR="006E4CBF" w:rsidRDefault="00F24F9B">
      <w:pPr>
        <w:rPr>
          <w:rFonts w:ascii="Aptos" w:eastAsia="Aptos" w:hAnsi="Aptos" w:cs="Aptos"/>
          <w:color w:val="7030A0"/>
        </w:rPr>
      </w:pPr>
      <w:r>
        <w:rPr>
          <w:rFonts w:ascii="Aptos" w:eastAsia="Aptos" w:hAnsi="Aptos" w:cs="Aptos"/>
          <w:color w:val="7030A0"/>
        </w:rPr>
        <w:t xml:space="preserve">Introduce mandatory continuing professional development and a public agent register linked to </w:t>
      </w:r>
      <w:r w:rsidR="00884F9E">
        <w:rPr>
          <w:rFonts w:ascii="Aptos" w:eastAsia="Aptos" w:hAnsi="Aptos" w:cs="Aptos"/>
          <w:color w:val="7030A0"/>
        </w:rPr>
        <w:t>redress scheme complain</w:t>
      </w:r>
      <w:r>
        <w:rPr>
          <w:rFonts w:ascii="Aptos" w:eastAsia="Aptos" w:hAnsi="Aptos" w:cs="Aptos"/>
          <w:color w:val="7030A0"/>
        </w:rPr>
        <w:t>t. NTS do</w:t>
      </w:r>
      <w:r w:rsidR="00902B1F">
        <w:rPr>
          <w:rFonts w:ascii="Aptos" w:eastAsia="Aptos" w:hAnsi="Aptos" w:cs="Aptos"/>
          <w:color w:val="7030A0"/>
        </w:rPr>
        <w:t>es</w:t>
      </w:r>
      <w:r>
        <w:rPr>
          <w:rFonts w:ascii="Aptos" w:eastAsia="Aptos" w:hAnsi="Aptos" w:cs="Aptos"/>
          <w:color w:val="7030A0"/>
        </w:rPr>
        <w:t xml:space="preserve"> not have the resources to enforce, and a private regulator should regulate property agents taking the cost out of the public purse and putting it into the membership requiring regulation. Regulation is not an expensive activity, it is based on the turnover of the business or complaints received </w:t>
      </w:r>
      <w:r w:rsidR="00884F9E">
        <w:rPr>
          <w:rFonts w:ascii="Aptos" w:eastAsia="Aptos" w:hAnsi="Aptos" w:cs="Aptos"/>
          <w:color w:val="7030A0"/>
        </w:rPr>
        <w:t>from</w:t>
      </w:r>
      <w:r>
        <w:rPr>
          <w:rFonts w:ascii="Aptos" w:eastAsia="Aptos" w:hAnsi="Aptos" w:cs="Aptos"/>
          <w:color w:val="7030A0"/>
        </w:rPr>
        <w:t xml:space="preserve"> customers.</w:t>
      </w:r>
    </w:p>
    <w:p w14:paraId="00000053" w14:textId="645DDE1B" w:rsidR="006E4CBF" w:rsidRDefault="00F24F9B">
      <w:pPr>
        <w:rPr>
          <w:rFonts w:ascii="Aptos" w:eastAsia="Aptos" w:hAnsi="Aptos" w:cs="Aptos"/>
          <w:color w:val="7030A0"/>
        </w:rPr>
      </w:pPr>
      <w:r>
        <w:rPr>
          <w:rFonts w:ascii="Aptos" w:eastAsia="Aptos" w:hAnsi="Aptos" w:cs="Aptos"/>
          <w:color w:val="7030A0"/>
        </w:rPr>
        <w:t>We would strongly advocate accrediting existing membership organisations who already voluntary regulate as a first step. The cost of regulation should not be borne by the consumer.</w:t>
      </w:r>
    </w:p>
    <w:p w14:paraId="00000054" w14:textId="77777777" w:rsidR="006E4CBF" w:rsidRDefault="00F24F9B">
      <w:pPr>
        <w:rPr>
          <w:rFonts w:ascii="Aptos" w:eastAsia="Aptos" w:hAnsi="Aptos" w:cs="Aptos"/>
          <w:color w:val="7030A0"/>
        </w:rPr>
      </w:pPr>
      <w:r>
        <w:rPr>
          <w:rFonts w:ascii="Aptos" w:eastAsia="Aptos" w:hAnsi="Aptos" w:cs="Aptos"/>
          <w:color w:val="7030A0"/>
        </w:rPr>
        <w:t>We will also need consumer education as, without the consumer being aware of their rights, there is nothing to drive complaints against non-compliance with the law, as we have seen with the Material Information requirements since 2008.</w:t>
      </w:r>
    </w:p>
    <w:p w14:paraId="00000055" w14:textId="6AEE2EA2" w:rsidR="006E4CBF" w:rsidRDefault="00F24F9B">
      <w:pPr>
        <w:rPr>
          <w:rFonts w:ascii="Aptos" w:eastAsia="Aptos" w:hAnsi="Aptos" w:cs="Aptos"/>
          <w:color w:val="7030A0"/>
        </w:rPr>
      </w:pPr>
      <w:r>
        <w:rPr>
          <w:rFonts w:ascii="Aptos" w:eastAsia="Aptos" w:hAnsi="Aptos" w:cs="Aptos"/>
          <w:color w:val="7030A0"/>
        </w:rPr>
        <w:t>However, there are barriers to customer complaints as they will not complain against letting agent where it means they could become homeless, for example</w:t>
      </w:r>
      <w:r w:rsidR="00902B1F">
        <w:rPr>
          <w:rFonts w:ascii="Aptos" w:eastAsia="Aptos" w:hAnsi="Aptos" w:cs="Aptos"/>
          <w:color w:val="7030A0"/>
        </w:rPr>
        <w:t>,</w:t>
      </w:r>
      <w:r>
        <w:rPr>
          <w:rFonts w:ascii="Aptos" w:eastAsia="Aptos" w:hAnsi="Aptos" w:cs="Aptos"/>
          <w:color w:val="7030A0"/>
        </w:rPr>
        <w:t xml:space="preserve"> if the Local Authority prevent the letting of an HMO</w:t>
      </w:r>
      <w:r w:rsidR="00DD0FEB">
        <w:rPr>
          <w:rFonts w:ascii="Aptos" w:eastAsia="Aptos" w:hAnsi="Aptos" w:cs="Aptos"/>
          <w:color w:val="7030A0"/>
        </w:rPr>
        <w:t xml:space="preserve">. </w:t>
      </w:r>
      <w:r>
        <w:rPr>
          <w:rFonts w:ascii="Aptos" w:eastAsia="Aptos" w:hAnsi="Aptos" w:cs="Aptos"/>
          <w:color w:val="7030A0"/>
        </w:rPr>
        <w:t>Similarly</w:t>
      </w:r>
      <w:r w:rsidR="00902B1F">
        <w:rPr>
          <w:rFonts w:ascii="Aptos" w:eastAsia="Aptos" w:hAnsi="Aptos" w:cs="Aptos"/>
          <w:color w:val="7030A0"/>
        </w:rPr>
        <w:t>,</w:t>
      </w:r>
      <w:r>
        <w:rPr>
          <w:rFonts w:ascii="Aptos" w:eastAsia="Aptos" w:hAnsi="Aptos" w:cs="Aptos"/>
          <w:color w:val="7030A0"/>
        </w:rPr>
        <w:t xml:space="preserve"> if they complain about a letting or estate agent then it is unlikely that agent will support them making an offer on another property.</w:t>
      </w:r>
    </w:p>
    <w:p w14:paraId="00000056" w14:textId="77777777" w:rsidR="006E4CBF" w:rsidRPr="00ED672A" w:rsidRDefault="00F24F9B" w:rsidP="00ED672A">
      <w:pPr>
        <w:pStyle w:val="Heading2"/>
        <w:rPr>
          <w:rFonts w:ascii="Aptos" w:hAnsi="Aptos"/>
          <w:sz w:val="22"/>
        </w:rPr>
      </w:pPr>
      <w:bookmarkStart w:id="19" w:name="_Toc215491999"/>
      <w:r w:rsidRPr="00ED672A">
        <w:rPr>
          <w:rFonts w:ascii="Aptos" w:hAnsi="Aptos"/>
          <w:sz w:val="22"/>
        </w:rPr>
        <w:t>Question 15</w:t>
      </w:r>
      <w:bookmarkEnd w:id="19"/>
    </w:p>
    <w:p w14:paraId="00000057" w14:textId="77777777" w:rsidR="006E4CBF" w:rsidRDefault="00F24F9B">
      <w:pPr>
        <w:rPr>
          <w:rFonts w:ascii="Aptos" w:eastAsia="Aptos" w:hAnsi="Aptos" w:cs="Aptos"/>
        </w:rPr>
      </w:pPr>
      <w:r>
        <w:rPr>
          <w:rFonts w:ascii="Aptos" w:eastAsia="Aptos" w:hAnsi="Aptos" w:cs="Aptos"/>
        </w:rPr>
        <w:t>Are there any other areas across the property agent sector that needs to be monitored or regulated in order to improve the customer journey?</w:t>
      </w:r>
    </w:p>
    <w:p w14:paraId="00000058" w14:textId="77777777" w:rsidR="006E4CBF" w:rsidRDefault="00F24F9B">
      <w:pPr>
        <w:rPr>
          <w:rFonts w:ascii="Aptos" w:eastAsia="Aptos" w:hAnsi="Aptos" w:cs="Aptos"/>
          <w:color w:val="7030A0"/>
        </w:rPr>
      </w:pPr>
      <w:r>
        <w:rPr>
          <w:rFonts w:ascii="Aptos" w:eastAsia="Aptos" w:hAnsi="Aptos" w:cs="Aptos"/>
          <w:color w:val="7030A0"/>
        </w:rPr>
        <w:t>In the case of block managers, requiring reasonable fees, reasonable services and to respond within a reasonable time, for example, for the provision of unit information for the sale of the property, or providing ground rent or estate rentcharge receipts or acknowledging receipt of notices.</w:t>
      </w:r>
    </w:p>
    <w:p w14:paraId="00000059" w14:textId="4416708C" w:rsidR="006E4CBF" w:rsidRDefault="00F24F9B">
      <w:pPr>
        <w:rPr>
          <w:rFonts w:ascii="Aptos" w:eastAsia="Aptos" w:hAnsi="Aptos" w:cs="Aptos"/>
          <w:color w:val="7030A0"/>
        </w:rPr>
      </w:pPr>
      <w:r>
        <w:rPr>
          <w:rFonts w:ascii="Aptos" w:eastAsia="Aptos" w:hAnsi="Aptos" w:cs="Aptos"/>
          <w:color w:val="7030A0"/>
        </w:rPr>
        <w:t>There is no legal obligation on long lease landlords, estate rent charge holders or property managers to provide information needed for transactions</w:t>
      </w:r>
      <w:r w:rsidR="00565265">
        <w:rPr>
          <w:rFonts w:ascii="Aptos" w:eastAsia="Aptos" w:hAnsi="Aptos" w:cs="Aptos"/>
          <w:color w:val="7030A0"/>
        </w:rPr>
        <w:t xml:space="preserve"> or receipts for ground rents or rentcharges</w:t>
      </w:r>
      <w:r>
        <w:rPr>
          <w:rFonts w:ascii="Aptos" w:eastAsia="Aptos" w:hAnsi="Aptos" w:cs="Aptos"/>
          <w:color w:val="7030A0"/>
        </w:rPr>
        <w:t xml:space="preserve">. </w:t>
      </w:r>
    </w:p>
    <w:p w14:paraId="46DD8A89" w14:textId="77777777" w:rsidR="00E4174E" w:rsidRPr="00E4174E" w:rsidRDefault="00E4174E" w:rsidP="00E4174E">
      <w:pPr>
        <w:pStyle w:val="Heading2"/>
      </w:pPr>
      <w:bookmarkStart w:id="20" w:name="_Toc215492000"/>
      <w:r w:rsidRPr="00E4174E">
        <w:t>E. Digital property logbooks and packs</w:t>
      </w:r>
      <w:bookmarkEnd w:id="20"/>
    </w:p>
    <w:p w14:paraId="0000005A" w14:textId="77777777" w:rsidR="006E4CBF" w:rsidRPr="00ED672A" w:rsidRDefault="00F24F9B" w:rsidP="00ED672A">
      <w:pPr>
        <w:pStyle w:val="Heading2"/>
        <w:rPr>
          <w:rFonts w:ascii="Aptos" w:hAnsi="Aptos"/>
          <w:sz w:val="22"/>
        </w:rPr>
      </w:pPr>
      <w:bookmarkStart w:id="21" w:name="_Toc215492001"/>
      <w:r w:rsidRPr="00ED672A">
        <w:rPr>
          <w:rFonts w:ascii="Aptos" w:hAnsi="Aptos"/>
          <w:sz w:val="22"/>
        </w:rPr>
        <w:t>Question 16</w:t>
      </w:r>
      <w:bookmarkEnd w:id="21"/>
    </w:p>
    <w:p w14:paraId="0000005B" w14:textId="77777777" w:rsidR="006E4CBF" w:rsidRDefault="00F24F9B">
      <w:pPr>
        <w:rPr>
          <w:rFonts w:ascii="Aptos" w:eastAsia="Aptos" w:hAnsi="Aptos" w:cs="Aptos"/>
        </w:rPr>
      </w:pPr>
      <w:r>
        <w:rPr>
          <w:rFonts w:ascii="Aptos" w:eastAsia="Aptos" w:hAnsi="Aptos" w:cs="Aptos"/>
        </w:rPr>
        <w:t>Do you agree that government should aim to support the wider use of digital property logbooks and packs?</w:t>
      </w:r>
    </w:p>
    <w:p w14:paraId="0000005C" w14:textId="77777777" w:rsidR="006E4CBF" w:rsidRDefault="00F24F9B">
      <w:pPr>
        <w:rPr>
          <w:rFonts w:ascii="Aptos" w:eastAsia="Aptos" w:hAnsi="Aptos" w:cs="Aptos"/>
          <w:color w:val="7030A0"/>
        </w:rPr>
      </w:pPr>
      <w:r>
        <w:rPr>
          <w:rFonts w:ascii="Aptos" w:eastAsia="Aptos" w:hAnsi="Aptos" w:cs="Aptos"/>
          <w:color w:val="7030A0"/>
        </w:rPr>
        <w:t>Yes. Digital property logbooks are the backbone of a modern, data-driven system and replace deeds packets which have been lost over time, but were one of the reasons why property transactions used to take 42-54 days on average.</w:t>
      </w:r>
    </w:p>
    <w:p w14:paraId="0000005D" w14:textId="77777777" w:rsidR="006E4CBF" w:rsidRPr="00ED672A" w:rsidRDefault="00F24F9B" w:rsidP="00ED672A">
      <w:pPr>
        <w:pStyle w:val="Heading2"/>
        <w:rPr>
          <w:rFonts w:ascii="Aptos" w:hAnsi="Aptos"/>
          <w:sz w:val="22"/>
        </w:rPr>
      </w:pPr>
      <w:bookmarkStart w:id="22" w:name="_Toc215492002"/>
      <w:r w:rsidRPr="00ED672A">
        <w:rPr>
          <w:rFonts w:ascii="Aptos" w:hAnsi="Aptos"/>
          <w:sz w:val="22"/>
        </w:rPr>
        <w:t>Question 17</w:t>
      </w:r>
      <w:bookmarkEnd w:id="22"/>
    </w:p>
    <w:p w14:paraId="0000005E" w14:textId="77777777" w:rsidR="006E4CBF" w:rsidRDefault="00F24F9B">
      <w:pPr>
        <w:rPr>
          <w:rFonts w:ascii="Aptos" w:eastAsia="Aptos" w:hAnsi="Aptos" w:cs="Aptos"/>
        </w:rPr>
      </w:pPr>
      <w:r>
        <w:rPr>
          <w:rFonts w:ascii="Aptos" w:eastAsia="Aptos" w:hAnsi="Aptos" w:cs="Aptos"/>
        </w:rPr>
        <w:t>If yes, what do you think would drive their wider adoption? How could government support this and do you think that legislation might be needed to bring about this change? </w:t>
      </w:r>
    </w:p>
    <w:p w14:paraId="6C86DD93" w14:textId="71C8BD05" w:rsidR="00A3415A" w:rsidRPr="00A3415A" w:rsidRDefault="00A3415A" w:rsidP="00A3415A">
      <w:pPr>
        <w:rPr>
          <w:rFonts w:ascii="Aptos" w:eastAsia="Aptos" w:hAnsi="Aptos" w:cs="Aptos"/>
          <w:color w:val="7030A0"/>
          <w:lang w:val="en-GB"/>
        </w:rPr>
      </w:pPr>
      <w:r>
        <w:rPr>
          <w:rFonts w:ascii="Aptos" w:eastAsia="Aptos" w:hAnsi="Aptos" w:cs="Aptos"/>
          <w:color w:val="7030A0"/>
          <w:lang w:val="en-GB"/>
        </w:rPr>
        <w:t>O</w:t>
      </w:r>
      <w:r w:rsidRPr="00A3415A">
        <w:rPr>
          <w:rFonts w:ascii="Aptos" w:eastAsia="Aptos" w:hAnsi="Aptos" w:cs="Aptos"/>
          <w:color w:val="7030A0"/>
          <w:lang w:val="en-GB"/>
        </w:rPr>
        <w:t>ur members have always felt that HMLR introducing a D</w:t>
      </w:r>
      <w:r w:rsidR="00902B1F">
        <w:rPr>
          <w:rFonts w:ascii="Aptos" w:eastAsia="Aptos" w:hAnsi="Aptos" w:cs="Aptos"/>
          <w:color w:val="7030A0"/>
          <w:lang w:val="en-GB"/>
        </w:rPr>
        <w:t>-</w:t>
      </w:r>
      <w:r w:rsidRPr="00A3415A">
        <w:rPr>
          <w:rFonts w:ascii="Aptos" w:eastAsia="Aptos" w:hAnsi="Aptos" w:cs="Aptos"/>
          <w:color w:val="7030A0"/>
          <w:lang w:val="en-GB"/>
        </w:rPr>
        <w:t>register as a central repository was a sensible solution, however with the introduction of the RLBA voluntary register they would support this alternative approach subject to the right Code and data standards being in place</w:t>
      </w:r>
      <w:r w:rsidR="00902B1F">
        <w:rPr>
          <w:rFonts w:ascii="Aptos" w:eastAsia="Aptos" w:hAnsi="Aptos" w:cs="Aptos"/>
          <w:color w:val="7030A0"/>
          <w:lang w:val="en-GB"/>
        </w:rPr>
        <w:t>,</w:t>
      </w:r>
      <w:r w:rsidRPr="00A3415A">
        <w:rPr>
          <w:rFonts w:ascii="Aptos" w:eastAsia="Aptos" w:hAnsi="Aptos" w:cs="Aptos"/>
          <w:color w:val="7030A0"/>
          <w:lang w:val="en-GB"/>
        </w:rPr>
        <w:t xml:space="preserve"> and the ability to transfer logbooks between providers. </w:t>
      </w:r>
      <w:r w:rsidR="001A4B96">
        <w:rPr>
          <w:rFonts w:ascii="Aptos" w:eastAsia="Aptos" w:hAnsi="Aptos" w:cs="Aptos"/>
          <w:color w:val="7030A0"/>
          <w:lang w:val="en-GB"/>
        </w:rPr>
        <w:t>This would be subject to the RLBA</w:t>
      </w:r>
      <w:r w:rsidR="00902B1F">
        <w:rPr>
          <w:rFonts w:ascii="Aptos" w:eastAsia="Aptos" w:hAnsi="Aptos" w:cs="Aptos"/>
          <w:color w:val="7030A0"/>
          <w:lang w:val="en-GB"/>
        </w:rPr>
        <w:t>,</w:t>
      </w:r>
      <w:r w:rsidR="001A4B96">
        <w:rPr>
          <w:rFonts w:ascii="Aptos" w:eastAsia="Aptos" w:hAnsi="Aptos" w:cs="Aptos"/>
          <w:color w:val="7030A0"/>
          <w:lang w:val="en-GB"/>
        </w:rPr>
        <w:t xml:space="preserve"> or similar organisation</w:t>
      </w:r>
      <w:r w:rsidR="00902B1F">
        <w:rPr>
          <w:rFonts w:ascii="Aptos" w:eastAsia="Aptos" w:hAnsi="Aptos" w:cs="Aptos"/>
          <w:color w:val="7030A0"/>
          <w:lang w:val="en-GB"/>
        </w:rPr>
        <w:t>,</w:t>
      </w:r>
      <w:r w:rsidR="001A4B96">
        <w:rPr>
          <w:rFonts w:ascii="Aptos" w:eastAsia="Aptos" w:hAnsi="Aptos" w:cs="Aptos"/>
          <w:color w:val="7030A0"/>
          <w:lang w:val="en-GB"/>
        </w:rPr>
        <w:t xml:space="preserve"> having clear and open criteria, preferably approved by the Secretary of State, for membership.</w:t>
      </w:r>
      <w:r w:rsidR="007F6437">
        <w:rPr>
          <w:rFonts w:ascii="Aptos" w:eastAsia="Aptos" w:hAnsi="Aptos" w:cs="Aptos"/>
          <w:color w:val="7030A0"/>
          <w:lang w:val="en-GB"/>
        </w:rPr>
        <w:t xml:space="preserve"> It should not be unduly influenced by commercial interests.</w:t>
      </w:r>
    </w:p>
    <w:p w14:paraId="00000062" w14:textId="174DCA51" w:rsidR="006E4CBF" w:rsidRDefault="00F24F9B">
      <w:pPr>
        <w:rPr>
          <w:rFonts w:ascii="Aptos" w:eastAsia="Aptos" w:hAnsi="Aptos" w:cs="Aptos"/>
          <w:color w:val="7030A0"/>
        </w:rPr>
      </w:pPr>
      <w:r>
        <w:rPr>
          <w:rFonts w:ascii="Aptos" w:eastAsia="Aptos" w:hAnsi="Aptos" w:cs="Aptos"/>
          <w:color w:val="7030A0"/>
        </w:rPr>
        <w:t>Adoption should be driven by integration with UPRN, verified APIs, and consumer demand.</w:t>
      </w:r>
    </w:p>
    <w:p w14:paraId="00000063" w14:textId="77777777" w:rsidR="006E4CBF" w:rsidRDefault="00F24F9B">
      <w:pPr>
        <w:rPr>
          <w:rFonts w:ascii="Aptos" w:eastAsia="Aptos" w:hAnsi="Aptos" w:cs="Aptos"/>
          <w:color w:val="7030A0"/>
        </w:rPr>
      </w:pPr>
      <w:r>
        <w:rPr>
          <w:rFonts w:ascii="Aptos" w:eastAsia="Aptos" w:hAnsi="Aptos" w:cs="Aptos"/>
          <w:color w:val="7030A0"/>
        </w:rPr>
        <w:t>Lenders and professional indemnity insurers updating their instructions to require property logbooks would drive adoption.</w:t>
      </w:r>
    </w:p>
    <w:p w14:paraId="00000064" w14:textId="77777777" w:rsidR="006E4CBF" w:rsidRDefault="00F24F9B">
      <w:pPr>
        <w:rPr>
          <w:rFonts w:ascii="Aptos" w:eastAsia="Aptos" w:hAnsi="Aptos" w:cs="Aptos"/>
          <w:color w:val="7030A0"/>
        </w:rPr>
      </w:pPr>
      <w:r>
        <w:rPr>
          <w:rFonts w:ascii="Aptos" w:eastAsia="Aptos" w:hAnsi="Aptos" w:cs="Aptos"/>
          <w:color w:val="7030A0"/>
        </w:rPr>
        <w:t>Updating the Law Society Conveyancing Protocol to include Digital Property Logbooks would help adoption by Solicitors and conveyancers alike.</w:t>
      </w:r>
    </w:p>
    <w:p w14:paraId="2098E890" w14:textId="77524F58" w:rsidR="005A7E04" w:rsidRPr="00EB4F55" w:rsidRDefault="005A7E04">
      <w:pPr>
        <w:rPr>
          <w:rFonts w:ascii="Aptos" w:eastAsia="Aptos" w:hAnsi="Aptos" w:cs="Aptos"/>
          <w:color w:val="7030A0"/>
        </w:rPr>
      </w:pPr>
      <w:r w:rsidRPr="00EB4F55">
        <w:rPr>
          <w:rFonts w:ascii="Aptos" w:eastAsia="Aptos" w:hAnsi="Aptos" w:cs="Aptos"/>
          <w:color w:val="7030A0"/>
        </w:rPr>
        <w:t>Government can drive wider adoption of digital property logbooks through standardisation, guidance, training, incentives, and collaboration, w</w:t>
      </w:r>
      <w:r w:rsidR="00EB4F55">
        <w:rPr>
          <w:rFonts w:ascii="Aptos" w:eastAsia="Aptos" w:hAnsi="Aptos" w:cs="Aptos"/>
          <w:color w:val="7030A0"/>
        </w:rPr>
        <w:t>hil</w:t>
      </w:r>
      <w:r w:rsidR="00902B1F">
        <w:rPr>
          <w:rFonts w:ascii="Aptos" w:eastAsia="Aptos" w:hAnsi="Aptos" w:cs="Aptos"/>
          <w:color w:val="7030A0"/>
        </w:rPr>
        <w:t>e</w:t>
      </w:r>
      <w:r w:rsidRPr="00EB4F55">
        <w:rPr>
          <w:rFonts w:ascii="Aptos" w:eastAsia="Aptos" w:hAnsi="Aptos" w:cs="Aptos"/>
          <w:color w:val="7030A0"/>
        </w:rPr>
        <w:t xml:space="preserve"> legislation </w:t>
      </w:r>
      <w:r w:rsidR="00EB4F55">
        <w:rPr>
          <w:rFonts w:ascii="Aptos" w:eastAsia="Aptos" w:hAnsi="Aptos" w:cs="Aptos"/>
          <w:color w:val="7030A0"/>
        </w:rPr>
        <w:t xml:space="preserve">is going through </w:t>
      </w:r>
      <w:r w:rsidR="00902B1F">
        <w:rPr>
          <w:rFonts w:ascii="Aptos" w:eastAsia="Aptos" w:hAnsi="Aptos" w:cs="Aptos"/>
          <w:color w:val="7030A0"/>
        </w:rPr>
        <w:t>P</w:t>
      </w:r>
      <w:r w:rsidR="00EB4F55">
        <w:rPr>
          <w:rFonts w:ascii="Aptos" w:eastAsia="Aptos" w:hAnsi="Aptos" w:cs="Aptos"/>
          <w:color w:val="7030A0"/>
        </w:rPr>
        <w:t>arliament.</w:t>
      </w:r>
    </w:p>
    <w:p w14:paraId="00000065" w14:textId="77777777" w:rsidR="006E4CBF" w:rsidRPr="00ED672A" w:rsidRDefault="00F24F9B" w:rsidP="00ED672A">
      <w:pPr>
        <w:pStyle w:val="Heading2"/>
        <w:rPr>
          <w:rFonts w:ascii="Aptos" w:hAnsi="Aptos"/>
          <w:sz w:val="22"/>
        </w:rPr>
      </w:pPr>
      <w:bookmarkStart w:id="23" w:name="_Toc215492003"/>
      <w:r w:rsidRPr="00ED672A">
        <w:rPr>
          <w:rFonts w:ascii="Aptos" w:hAnsi="Aptos"/>
          <w:sz w:val="22"/>
        </w:rPr>
        <w:t>Question 18</w:t>
      </w:r>
      <w:bookmarkEnd w:id="23"/>
    </w:p>
    <w:p w14:paraId="00000066" w14:textId="77777777" w:rsidR="006E4CBF" w:rsidRDefault="00F24F9B">
      <w:pPr>
        <w:rPr>
          <w:rFonts w:ascii="Aptos" w:eastAsia="Aptos" w:hAnsi="Aptos" w:cs="Aptos"/>
        </w:rPr>
      </w:pPr>
      <w:r>
        <w:rPr>
          <w:rFonts w:ascii="Aptos" w:eastAsia="Aptos" w:hAnsi="Aptos" w:cs="Aptos"/>
        </w:rPr>
        <w:t>What risks would need to be considered when creating and storing digital logbooks?</w:t>
      </w:r>
    </w:p>
    <w:p w14:paraId="00000067" w14:textId="1DE561CD" w:rsidR="006E4CBF" w:rsidRDefault="00F24F9B">
      <w:pPr>
        <w:rPr>
          <w:rFonts w:ascii="Aptos" w:eastAsia="Aptos" w:hAnsi="Aptos" w:cs="Aptos"/>
          <w:color w:val="7030A0"/>
        </w:rPr>
      </w:pPr>
      <w:r w:rsidRPr="00EB4F55">
        <w:rPr>
          <w:rFonts w:ascii="Aptos" w:eastAsia="Aptos" w:hAnsi="Aptos" w:cs="Aptos"/>
          <w:color w:val="7030A0"/>
        </w:rPr>
        <w:t>Data protection, cyber resilience, and clarity on liability for outdated or incorrect data must be addressed, for example, reliance on a survey or search would be down to the terms and conditions of that provider and their insurer</w:t>
      </w:r>
      <w:r w:rsidR="00DD0FEB" w:rsidRPr="00EB4F55">
        <w:rPr>
          <w:rFonts w:ascii="Aptos" w:eastAsia="Aptos" w:hAnsi="Aptos" w:cs="Aptos"/>
          <w:color w:val="7030A0"/>
        </w:rPr>
        <w:t xml:space="preserve">. </w:t>
      </w:r>
    </w:p>
    <w:p w14:paraId="0CE73082" w14:textId="6BE22BFD" w:rsidR="007F6437" w:rsidRDefault="007F6437">
      <w:pPr>
        <w:rPr>
          <w:rFonts w:ascii="Aptos" w:eastAsia="Aptos" w:hAnsi="Aptos" w:cs="Aptos"/>
          <w:color w:val="7030A0"/>
        </w:rPr>
      </w:pPr>
      <w:r>
        <w:rPr>
          <w:rFonts w:ascii="Aptos" w:eastAsia="Aptos" w:hAnsi="Aptos" w:cs="Aptos"/>
          <w:color w:val="7030A0"/>
        </w:rPr>
        <w:t>During the transition to all propert</w:t>
      </w:r>
      <w:r w:rsidR="00902B1F">
        <w:rPr>
          <w:rFonts w:ascii="Aptos" w:eastAsia="Aptos" w:hAnsi="Aptos" w:cs="Aptos"/>
          <w:color w:val="7030A0"/>
        </w:rPr>
        <w:t>ies</w:t>
      </w:r>
      <w:r>
        <w:rPr>
          <w:rFonts w:ascii="Aptos" w:eastAsia="Aptos" w:hAnsi="Aptos" w:cs="Aptos"/>
          <w:color w:val="7030A0"/>
        </w:rPr>
        <w:t xml:space="preserve"> having a logbook, conveyancers’ systems workflows will need to deal with a proportion without logbooks which will create </w:t>
      </w:r>
      <w:r w:rsidR="00902B1F">
        <w:rPr>
          <w:rFonts w:ascii="Aptos" w:eastAsia="Aptos" w:hAnsi="Aptos" w:cs="Aptos"/>
          <w:color w:val="7030A0"/>
        </w:rPr>
        <w:t>two</w:t>
      </w:r>
      <w:r>
        <w:rPr>
          <w:rFonts w:ascii="Aptos" w:eastAsia="Aptos" w:hAnsi="Aptos" w:cs="Aptos"/>
          <w:color w:val="7030A0"/>
        </w:rPr>
        <w:t xml:space="preserve"> systems which will have to be managed concurrently.</w:t>
      </w:r>
    </w:p>
    <w:p w14:paraId="571506A9" w14:textId="77777777" w:rsidR="00980C4D" w:rsidRPr="002923CF" w:rsidRDefault="00980C4D" w:rsidP="00980C4D">
      <w:pPr>
        <w:rPr>
          <w:rFonts w:ascii="Aptos" w:eastAsia="Aptos" w:hAnsi="Aptos" w:cs="Aptos"/>
          <w:color w:val="7030A0"/>
        </w:rPr>
      </w:pPr>
      <w:r w:rsidRPr="002923CF">
        <w:rPr>
          <w:rFonts w:ascii="Aptos" w:eastAsia="Times New Roman" w:hAnsi="Aptos" w:cs="Times New Roman"/>
          <w:color w:val="7030A0"/>
          <w:lang w:val="en-GB"/>
        </w:rPr>
        <w:t>If a logbook provider ceases trading, there must be clear protocols for data continuity and transfer to prevent loss of critical information.</w:t>
      </w:r>
    </w:p>
    <w:p w14:paraId="26530F67" w14:textId="77777777" w:rsidR="00E4174E" w:rsidRPr="00E4174E" w:rsidRDefault="00E4174E" w:rsidP="00E4174E">
      <w:pPr>
        <w:pStyle w:val="Heading2"/>
      </w:pPr>
      <w:bookmarkStart w:id="24" w:name="_Toc215492004"/>
      <w:r w:rsidRPr="00E4174E">
        <w:t>F. Binding conditional contracts</w:t>
      </w:r>
      <w:bookmarkEnd w:id="24"/>
    </w:p>
    <w:p w14:paraId="00000068" w14:textId="77777777" w:rsidR="006E4CBF" w:rsidRPr="00ED672A" w:rsidRDefault="00F24F9B" w:rsidP="00ED672A">
      <w:pPr>
        <w:pStyle w:val="Heading2"/>
        <w:rPr>
          <w:rFonts w:ascii="Aptos" w:hAnsi="Aptos"/>
          <w:sz w:val="22"/>
        </w:rPr>
      </w:pPr>
      <w:bookmarkStart w:id="25" w:name="_Toc215492005"/>
      <w:r w:rsidRPr="00ED672A">
        <w:rPr>
          <w:rFonts w:ascii="Aptos" w:hAnsi="Aptos"/>
          <w:sz w:val="22"/>
        </w:rPr>
        <w:t>Question 19</w:t>
      </w:r>
      <w:bookmarkEnd w:id="25"/>
    </w:p>
    <w:p w14:paraId="00000069" w14:textId="77777777" w:rsidR="006E4CBF" w:rsidRDefault="00F24F9B">
      <w:pPr>
        <w:rPr>
          <w:rFonts w:ascii="Aptos" w:eastAsia="Aptos" w:hAnsi="Aptos" w:cs="Aptos"/>
        </w:rPr>
      </w:pPr>
      <w:r>
        <w:rPr>
          <w:rFonts w:ascii="Aptos" w:eastAsia="Aptos" w:hAnsi="Aptos" w:cs="Aptos"/>
        </w:rPr>
        <w:t>Do you agree that government should support mechanisms to make property transactions more binding at an earlier stage?</w:t>
      </w:r>
    </w:p>
    <w:p w14:paraId="0000006A" w14:textId="0F592237" w:rsidR="006E4CBF" w:rsidRDefault="005D5CA5">
      <w:pPr>
        <w:rPr>
          <w:rFonts w:ascii="Aptos" w:eastAsia="Aptos" w:hAnsi="Aptos" w:cs="Aptos"/>
          <w:color w:val="7030A0"/>
        </w:rPr>
      </w:pPr>
      <w:r>
        <w:rPr>
          <w:rFonts w:ascii="Aptos" w:eastAsia="Aptos" w:hAnsi="Aptos" w:cs="Aptos"/>
          <w:color w:val="7030A0"/>
        </w:rPr>
        <w:t>In the current environment the CA do not support binding offers. Whil</w:t>
      </w:r>
      <w:r w:rsidR="00902B1F">
        <w:rPr>
          <w:rFonts w:ascii="Aptos" w:eastAsia="Aptos" w:hAnsi="Aptos" w:cs="Aptos"/>
          <w:color w:val="7030A0"/>
        </w:rPr>
        <w:t>e</w:t>
      </w:r>
      <w:r w:rsidR="00F462AE">
        <w:rPr>
          <w:rFonts w:ascii="Aptos" w:eastAsia="Aptos" w:hAnsi="Aptos" w:cs="Aptos"/>
          <w:color w:val="7030A0"/>
        </w:rPr>
        <w:t xml:space="preserve"> they</w:t>
      </w:r>
      <w:r w:rsidR="00F24F9B">
        <w:rPr>
          <w:rFonts w:ascii="Aptos" w:eastAsia="Aptos" w:hAnsi="Aptos" w:cs="Aptos"/>
          <w:color w:val="7030A0"/>
        </w:rPr>
        <w:t xml:space="preserve"> would</w:t>
      </w:r>
      <w:r>
        <w:rPr>
          <w:rFonts w:ascii="Aptos" w:eastAsia="Aptos" w:hAnsi="Aptos" w:cs="Aptos"/>
          <w:color w:val="7030A0"/>
        </w:rPr>
        <w:t xml:space="preserve"> appear to</w:t>
      </w:r>
      <w:r w:rsidR="00F24F9B">
        <w:rPr>
          <w:rFonts w:ascii="Aptos" w:eastAsia="Aptos" w:hAnsi="Aptos" w:cs="Aptos"/>
          <w:color w:val="7030A0"/>
        </w:rPr>
        <w:t xml:space="preserve"> provide certainty and reduce fall-throughs, until the provision of upfront information and mortgage instructions are settled</w:t>
      </w:r>
      <w:r w:rsidR="00902B1F">
        <w:rPr>
          <w:rFonts w:ascii="Aptos" w:eastAsia="Aptos" w:hAnsi="Aptos" w:cs="Aptos"/>
          <w:color w:val="7030A0"/>
        </w:rPr>
        <w:t>,</w:t>
      </w:r>
      <w:r w:rsidR="00F24F9B">
        <w:rPr>
          <w:rFonts w:ascii="Aptos" w:eastAsia="Aptos" w:hAnsi="Aptos" w:cs="Aptos"/>
          <w:color w:val="7030A0"/>
        </w:rPr>
        <w:t xml:space="preserve"> binding offers might not deliver the desired effect</w:t>
      </w:r>
      <w:r w:rsidR="00DC1B96">
        <w:rPr>
          <w:rFonts w:ascii="Aptos" w:eastAsia="Aptos" w:hAnsi="Aptos" w:cs="Aptos"/>
          <w:color w:val="7030A0"/>
        </w:rPr>
        <w:t xml:space="preserve"> and even then, issue</w:t>
      </w:r>
      <w:r>
        <w:rPr>
          <w:rFonts w:ascii="Aptos" w:eastAsia="Aptos" w:hAnsi="Aptos" w:cs="Aptos"/>
          <w:color w:val="7030A0"/>
        </w:rPr>
        <w:t>s</w:t>
      </w:r>
      <w:r w:rsidR="00DC1B96">
        <w:rPr>
          <w:rFonts w:ascii="Aptos" w:eastAsia="Aptos" w:hAnsi="Aptos" w:cs="Aptos"/>
          <w:color w:val="7030A0"/>
        </w:rPr>
        <w:t xml:space="preserve"> arise with the cost of instructing a conveyancing lawyer and surveyor to advise on the title and structure </w:t>
      </w:r>
      <w:r w:rsidR="006B33AC">
        <w:rPr>
          <w:rFonts w:ascii="Aptos" w:eastAsia="Aptos" w:hAnsi="Aptos" w:cs="Aptos"/>
          <w:color w:val="7030A0"/>
        </w:rPr>
        <w:t>without knowing whether an offer will be accepted</w:t>
      </w:r>
      <w:r w:rsidR="00F24F9B">
        <w:rPr>
          <w:rFonts w:ascii="Aptos" w:eastAsia="Aptos" w:hAnsi="Aptos" w:cs="Aptos"/>
          <w:color w:val="7030A0"/>
        </w:rPr>
        <w:t>.</w:t>
      </w:r>
      <w:r w:rsidR="00902B1F">
        <w:rPr>
          <w:rFonts w:ascii="Aptos" w:eastAsia="Aptos" w:hAnsi="Aptos" w:cs="Aptos"/>
          <w:color w:val="7030A0"/>
        </w:rPr>
        <w:t xml:space="preserve"> </w:t>
      </w:r>
      <w:r w:rsidR="00F462AE">
        <w:rPr>
          <w:rFonts w:ascii="Aptos" w:eastAsia="Aptos" w:hAnsi="Aptos" w:cs="Aptos"/>
          <w:color w:val="7030A0"/>
        </w:rPr>
        <w:t xml:space="preserve">Similarly, if that took time, would a buyer lose out to </w:t>
      </w:r>
      <w:r w:rsidR="00902B1F">
        <w:rPr>
          <w:rFonts w:ascii="Aptos" w:eastAsia="Aptos" w:hAnsi="Aptos" w:cs="Aptos"/>
          <w:color w:val="7030A0"/>
        </w:rPr>
        <w:t>one able</w:t>
      </w:r>
      <w:r w:rsidR="00F462AE">
        <w:rPr>
          <w:rFonts w:ascii="Aptos" w:eastAsia="Aptos" w:hAnsi="Aptos" w:cs="Aptos"/>
          <w:color w:val="7030A0"/>
        </w:rPr>
        <w:t xml:space="preserve"> to obtain the advice, provide evidence of financing and instruct an offer more quickly</w:t>
      </w:r>
      <w:r w:rsidR="00902B1F">
        <w:rPr>
          <w:rFonts w:ascii="Aptos" w:eastAsia="Aptos" w:hAnsi="Aptos" w:cs="Aptos"/>
          <w:color w:val="7030A0"/>
        </w:rPr>
        <w:t>?</w:t>
      </w:r>
    </w:p>
    <w:p w14:paraId="0000006B" w14:textId="02628F1F" w:rsidR="006E4CBF" w:rsidRDefault="00F24F9B">
      <w:pPr>
        <w:rPr>
          <w:rFonts w:ascii="Aptos" w:eastAsia="Aptos" w:hAnsi="Aptos" w:cs="Aptos"/>
          <w:color w:val="7030A0"/>
        </w:rPr>
      </w:pPr>
      <w:r>
        <w:rPr>
          <w:rFonts w:ascii="Aptos" w:eastAsia="Aptos" w:hAnsi="Aptos" w:cs="Aptos"/>
          <w:color w:val="7030A0"/>
        </w:rPr>
        <w:t>Anecdotally</w:t>
      </w:r>
      <w:r w:rsidR="00902B1F">
        <w:rPr>
          <w:rFonts w:ascii="Aptos" w:eastAsia="Aptos" w:hAnsi="Aptos" w:cs="Aptos"/>
          <w:color w:val="7030A0"/>
        </w:rPr>
        <w:t>,</w:t>
      </w:r>
      <w:r>
        <w:rPr>
          <w:rFonts w:ascii="Aptos" w:eastAsia="Aptos" w:hAnsi="Aptos" w:cs="Aptos"/>
          <w:color w:val="7030A0"/>
        </w:rPr>
        <w:t xml:space="preserve"> we understand auction packs are rarely reviewed by buyers so there would be a risk buyers entering into binding contracts would not understand the impact of the physical condition or rights and restrictions in the legal title on them. This could in turn increase the breach of restrictions, encroachments and blocking up of rights of way which would then add extra cost to local authorities for the enforcement or prevention simply because the property owner was not aware of the issue.</w:t>
      </w:r>
    </w:p>
    <w:p w14:paraId="0000006C" w14:textId="46B90B0F" w:rsidR="006E4CBF" w:rsidRDefault="00000000">
      <w:pPr>
        <w:rPr>
          <w:rFonts w:ascii="Aptos" w:eastAsia="Aptos" w:hAnsi="Aptos" w:cs="Aptos"/>
          <w:color w:val="7030A0"/>
        </w:rPr>
      </w:pPr>
      <w:sdt>
        <w:sdtPr>
          <w:tag w:val="goog_rdk_14"/>
          <w:id w:val="1109281388"/>
        </w:sdtPr>
        <w:sdtContent/>
      </w:sdt>
      <w:sdt>
        <w:sdtPr>
          <w:tag w:val="goog_rdk_15"/>
          <w:id w:val="859176258"/>
        </w:sdtPr>
        <w:sdtContent/>
      </w:sdt>
      <w:sdt>
        <w:sdtPr>
          <w:tag w:val="goog_rdk_16"/>
          <w:id w:val="1349900138"/>
        </w:sdtPr>
        <w:sdtContent/>
      </w:sdt>
      <w:sdt>
        <w:sdtPr>
          <w:tag w:val="goog_rdk_17"/>
          <w:id w:val="1590590331"/>
        </w:sdtPr>
        <w:sdtContent/>
      </w:sdt>
      <w:sdt>
        <w:sdtPr>
          <w:tag w:val="goog_rdk_18"/>
          <w:id w:val="653411888"/>
        </w:sdtPr>
        <w:sdtContent/>
      </w:sdt>
      <w:r w:rsidR="00F24F9B">
        <w:rPr>
          <w:rFonts w:ascii="Aptos" w:eastAsia="Aptos" w:hAnsi="Aptos" w:cs="Aptos"/>
          <w:color w:val="7030A0"/>
        </w:rPr>
        <w:t xml:space="preserve">For that reason, as happens in Scotland, binding offers </w:t>
      </w:r>
      <w:r w:rsidR="006B33AC">
        <w:rPr>
          <w:rFonts w:ascii="Aptos" w:eastAsia="Aptos" w:hAnsi="Aptos" w:cs="Aptos"/>
          <w:color w:val="7030A0"/>
        </w:rPr>
        <w:t>c</w:t>
      </w:r>
      <w:r w:rsidR="00F24F9B">
        <w:rPr>
          <w:rFonts w:ascii="Aptos" w:eastAsia="Aptos" w:hAnsi="Aptos" w:cs="Aptos"/>
          <w:color w:val="7030A0"/>
        </w:rPr>
        <w:t xml:space="preserve">ould only be put forward by conveyancing lawyers who will have had the opportunity to advise the buyer what impact the title will have on their intended use and enjoyment, establish how the purchase is being funded (as part of their AML requirements) and recommend the buyer gets a </w:t>
      </w:r>
      <w:r w:rsidR="00902B1F">
        <w:rPr>
          <w:rFonts w:ascii="Aptos" w:eastAsia="Aptos" w:hAnsi="Aptos" w:cs="Aptos"/>
          <w:color w:val="7030A0"/>
        </w:rPr>
        <w:t>m</w:t>
      </w:r>
      <w:r w:rsidR="00F24F9B">
        <w:rPr>
          <w:rFonts w:ascii="Aptos" w:eastAsia="Aptos" w:hAnsi="Aptos" w:cs="Aptos"/>
          <w:color w:val="7030A0"/>
        </w:rPr>
        <w:t>ortgage Decision in Principle before putting the offer forward</w:t>
      </w:r>
      <w:r w:rsidR="00902B1F">
        <w:rPr>
          <w:rFonts w:ascii="Aptos" w:eastAsia="Aptos" w:hAnsi="Aptos" w:cs="Aptos"/>
          <w:color w:val="7030A0"/>
        </w:rPr>
        <w:t xml:space="preserve">. They can also </w:t>
      </w:r>
      <w:r w:rsidR="00F24F9B">
        <w:rPr>
          <w:rFonts w:ascii="Aptos" w:eastAsia="Aptos" w:hAnsi="Aptos" w:cs="Aptos"/>
          <w:color w:val="7030A0"/>
        </w:rPr>
        <w:t>highlight to them the need to check any condition report</w:t>
      </w:r>
      <w:r w:rsidR="006B33AC">
        <w:rPr>
          <w:rFonts w:ascii="Aptos" w:eastAsia="Aptos" w:hAnsi="Aptos" w:cs="Aptos"/>
          <w:color w:val="7030A0"/>
        </w:rPr>
        <w:t xml:space="preserve">, but that will add to the cost </w:t>
      </w:r>
      <w:r w:rsidR="00902B1F">
        <w:rPr>
          <w:rFonts w:ascii="Aptos" w:eastAsia="Aptos" w:hAnsi="Aptos" w:cs="Aptos"/>
          <w:color w:val="7030A0"/>
        </w:rPr>
        <w:t>for</w:t>
      </w:r>
      <w:r w:rsidR="006B33AC">
        <w:rPr>
          <w:rFonts w:ascii="Aptos" w:eastAsia="Aptos" w:hAnsi="Aptos" w:cs="Aptos"/>
          <w:color w:val="7030A0"/>
        </w:rPr>
        <w:t xml:space="preserve"> a buyer without knowing whether the offer will be accepted</w:t>
      </w:r>
      <w:r w:rsidR="00847826">
        <w:rPr>
          <w:rFonts w:ascii="Aptos" w:eastAsia="Aptos" w:hAnsi="Aptos" w:cs="Aptos"/>
          <w:color w:val="7030A0"/>
        </w:rPr>
        <w:t xml:space="preserve"> and </w:t>
      </w:r>
      <w:r w:rsidR="00902B1F">
        <w:rPr>
          <w:rFonts w:ascii="Aptos" w:eastAsia="Aptos" w:hAnsi="Aptos" w:cs="Aptos"/>
          <w:color w:val="7030A0"/>
        </w:rPr>
        <w:t xml:space="preserve">increase the </w:t>
      </w:r>
      <w:r w:rsidR="00847826">
        <w:rPr>
          <w:rFonts w:ascii="Aptos" w:eastAsia="Aptos" w:hAnsi="Aptos" w:cs="Aptos"/>
          <w:color w:val="7030A0"/>
        </w:rPr>
        <w:t>risk their offer may not be put forward quickly enough</w:t>
      </w:r>
      <w:r w:rsidR="006B33AC">
        <w:rPr>
          <w:rFonts w:ascii="Aptos" w:eastAsia="Aptos" w:hAnsi="Aptos" w:cs="Aptos"/>
          <w:color w:val="7030A0"/>
        </w:rPr>
        <w:t>.</w:t>
      </w:r>
    </w:p>
    <w:p w14:paraId="0000006D" w14:textId="77777777" w:rsidR="006E4CBF" w:rsidRPr="00ED672A" w:rsidRDefault="00F24F9B" w:rsidP="00ED672A">
      <w:pPr>
        <w:pStyle w:val="Heading2"/>
        <w:rPr>
          <w:rFonts w:ascii="Aptos" w:hAnsi="Aptos"/>
          <w:sz w:val="22"/>
        </w:rPr>
      </w:pPr>
      <w:bookmarkStart w:id="26" w:name="_Toc215492006"/>
      <w:r w:rsidRPr="00ED672A">
        <w:rPr>
          <w:rFonts w:ascii="Aptos" w:hAnsi="Aptos"/>
          <w:sz w:val="22"/>
        </w:rPr>
        <w:t>Question 20</w:t>
      </w:r>
      <w:bookmarkEnd w:id="26"/>
    </w:p>
    <w:p w14:paraId="0000006E" w14:textId="77777777" w:rsidR="006E4CBF" w:rsidRDefault="00F24F9B">
      <w:pPr>
        <w:rPr>
          <w:rFonts w:ascii="Aptos" w:eastAsia="Aptos" w:hAnsi="Aptos" w:cs="Aptos"/>
        </w:rPr>
      </w:pPr>
      <w:r>
        <w:rPr>
          <w:rFonts w:ascii="Aptos" w:eastAsia="Aptos" w:hAnsi="Aptos" w:cs="Aptos"/>
        </w:rPr>
        <w:t>What do you think is the most effective means of doing this – incentivise estate agents to offer this as a service, raise consumer awareness of binding agreements, legislate to require their use in property transactions etcetera?</w:t>
      </w:r>
    </w:p>
    <w:p w14:paraId="0000006F" w14:textId="43EA19C9" w:rsidR="006E4CBF" w:rsidRDefault="00F24F9B">
      <w:pPr>
        <w:rPr>
          <w:rFonts w:ascii="Aptos" w:eastAsia="Aptos" w:hAnsi="Aptos" w:cs="Aptos"/>
          <w:color w:val="7030A0"/>
        </w:rPr>
      </w:pPr>
      <w:r>
        <w:rPr>
          <w:rFonts w:ascii="Aptos" w:eastAsia="Aptos" w:hAnsi="Aptos" w:cs="Aptos"/>
          <w:color w:val="7030A0"/>
        </w:rPr>
        <w:t>Legislation will be required to mandate it across the entire chain of transactions as has happened in other jurisdictions. It will also drive a change in consumer behaviour and remove speculative offers.</w:t>
      </w:r>
    </w:p>
    <w:p w14:paraId="00000070" w14:textId="2ACBD458" w:rsidR="006E4CBF" w:rsidRDefault="00F24F9B">
      <w:pPr>
        <w:rPr>
          <w:rFonts w:ascii="Aptos" w:eastAsia="Aptos" w:hAnsi="Aptos" w:cs="Aptos"/>
          <w:color w:val="7030A0"/>
        </w:rPr>
      </w:pPr>
      <w:r>
        <w:rPr>
          <w:rFonts w:ascii="Aptos" w:eastAsia="Aptos" w:hAnsi="Aptos" w:cs="Aptos"/>
          <w:color w:val="7030A0"/>
        </w:rPr>
        <w:t>As we see with new-build properties, where the buyer is provided with all of the information they require on day one, they are able to legally commit within 14 days</w:t>
      </w:r>
      <w:r w:rsidR="00902B1F">
        <w:rPr>
          <w:rFonts w:ascii="Aptos" w:eastAsia="Aptos" w:hAnsi="Aptos" w:cs="Aptos"/>
          <w:color w:val="7030A0"/>
        </w:rPr>
        <w:t xml:space="preserve">. However </w:t>
      </w:r>
      <w:r>
        <w:rPr>
          <w:rFonts w:ascii="Aptos" w:eastAsia="Aptos" w:hAnsi="Aptos" w:cs="Aptos"/>
          <w:color w:val="7030A0"/>
        </w:rPr>
        <w:t xml:space="preserve">as soon as you add in the sale of the buyer’s own property, the average time to legal commitment </w:t>
      </w:r>
      <w:r w:rsidR="00902B1F">
        <w:rPr>
          <w:rFonts w:ascii="Aptos" w:eastAsia="Aptos" w:hAnsi="Aptos" w:cs="Aptos"/>
          <w:color w:val="7030A0"/>
        </w:rPr>
        <w:t xml:space="preserve">increases to </w:t>
      </w:r>
      <w:r>
        <w:rPr>
          <w:rFonts w:ascii="Aptos" w:eastAsia="Aptos" w:hAnsi="Aptos" w:cs="Aptos"/>
          <w:color w:val="7030A0"/>
        </w:rPr>
        <w:t xml:space="preserve">48 days. </w:t>
      </w:r>
    </w:p>
    <w:p w14:paraId="00000071" w14:textId="0CAE5336" w:rsidR="006E4CBF" w:rsidRDefault="00F24F9B">
      <w:pPr>
        <w:rPr>
          <w:rFonts w:ascii="Aptos" w:eastAsia="Aptos" w:hAnsi="Aptos" w:cs="Aptos"/>
          <w:color w:val="7030A0"/>
        </w:rPr>
      </w:pPr>
      <w:r>
        <w:rPr>
          <w:rFonts w:ascii="Aptos" w:eastAsia="Aptos" w:hAnsi="Aptos" w:cs="Aptos"/>
          <w:color w:val="7030A0"/>
        </w:rPr>
        <w:t xml:space="preserve">It is therefore vital the same wording for the binding offer agreement is used across the chain and there is </w:t>
      </w:r>
      <w:r w:rsidR="001B5EE2">
        <w:rPr>
          <w:rFonts w:ascii="Aptos" w:eastAsia="Aptos" w:hAnsi="Aptos" w:cs="Aptos"/>
          <w:color w:val="7030A0"/>
        </w:rPr>
        <w:t xml:space="preserve">a </w:t>
      </w:r>
      <w:r>
        <w:rPr>
          <w:rFonts w:ascii="Aptos" w:eastAsia="Aptos" w:hAnsi="Aptos" w:cs="Aptos"/>
          <w:color w:val="7030A0"/>
        </w:rPr>
        <w:t>sufficient cooling</w:t>
      </w:r>
      <w:r w:rsidR="001B5EE2">
        <w:rPr>
          <w:rFonts w:ascii="Aptos" w:eastAsia="Aptos" w:hAnsi="Aptos" w:cs="Aptos"/>
          <w:color w:val="7030A0"/>
        </w:rPr>
        <w:t>-</w:t>
      </w:r>
      <w:r>
        <w:rPr>
          <w:rFonts w:ascii="Aptos" w:eastAsia="Aptos" w:hAnsi="Aptos" w:cs="Aptos"/>
          <w:color w:val="7030A0"/>
        </w:rPr>
        <w:t>off period for those that have a related sale or purchase.</w:t>
      </w:r>
      <w:r w:rsidR="00847826">
        <w:rPr>
          <w:rFonts w:ascii="Aptos" w:eastAsia="Aptos" w:hAnsi="Aptos" w:cs="Aptos"/>
          <w:color w:val="7030A0"/>
        </w:rPr>
        <w:t xml:space="preserve"> However, this creates a quandary over what happens if they have to withdraw from a sale and purchase and have to pay out to the seller and buyer.</w:t>
      </w:r>
    </w:p>
    <w:p w14:paraId="00000072" w14:textId="77777777" w:rsidR="006E4CBF" w:rsidRDefault="00F24F9B">
      <w:pPr>
        <w:rPr>
          <w:rFonts w:ascii="Aptos" w:eastAsia="Aptos" w:hAnsi="Aptos" w:cs="Aptos"/>
          <w:color w:val="7030A0"/>
        </w:rPr>
      </w:pPr>
      <w:r>
        <w:rPr>
          <w:rFonts w:ascii="Aptos" w:eastAsia="Aptos" w:hAnsi="Aptos" w:cs="Aptos"/>
          <w:color w:val="7030A0"/>
        </w:rPr>
        <w:t>Queensland is the latest Australian state to introduce a comprehensive vendor disclosure and binding offer regime with the implementation of its mandatory Seller Disclosure Scheme on August 1, 2025, under the </w:t>
      </w:r>
      <w:hyperlink r:id="rId9">
        <w:r w:rsidR="006E4CBF">
          <w:rPr>
            <w:rFonts w:ascii="Aptos" w:eastAsia="Aptos" w:hAnsi="Aptos" w:cs="Aptos"/>
            <w:color w:val="0000FF"/>
            <w:u w:val="single"/>
          </w:rPr>
          <w:t>Property Law Act 2023</w:t>
        </w:r>
      </w:hyperlink>
      <w:r>
        <w:rPr>
          <w:rFonts w:ascii="Aptos" w:eastAsia="Aptos" w:hAnsi="Aptos" w:cs="Aptos"/>
          <w:color w:val="7030A0"/>
        </w:rPr>
        <w:t>.</w:t>
      </w:r>
    </w:p>
    <w:p w14:paraId="00000073" w14:textId="77777777" w:rsidR="006E4CBF" w:rsidRPr="00ED672A" w:rsidRDefault="00F24F9B" w:rsidP="00ED672A">
      <w:pPr>
        <w:pStyle w:val="Heading2"/>
        <w:rPr>
          <w:rFonts w:ascii="Aptos" w:hAnsi="Aptos"/>
          <w:sz w:val="22"/>
        </w:rPr>
      </w:pPr>
      <w:bookmarkStart w:id="27" w:name="_Toc215492007"/>
      <w:r w:rsidRPr="00ED672A">
        <w:rPr>
          <w:rFonts w:ascii="Aptos" w:hAnsi="Aptos"/>
          <w:sz w:val="22"/>
        </w:rPr>
        <w:t>Question 21</w:t>
      </w:r>
      <w:bookmarkEnd w:id="27"/>
    </w:p>
    <w:p w14:paraId="00000074" w14:textId="77777777" w:rsidR="006E4CBF" w:rsidRDefault="00F24F9B">
      <w:pPr>
        <w:rPr>
          <w:rFonts w:ascii="Aptos" w:eastAsia="Aptos" w:hAnsi="Aptos" w:cs="Aptos"/>
        </w:rPr>
      </w:pPr>
      <w:r>
        <w:rPr>
          <w:rFonts w:ascii="Aptos" w:eastAsia="Aptos" w:hAnsi="Aptos" w:cs="Aptos"/>
        </w:rPr>
        <w:t>What would be appropriate costs or penalties for failure to comply with binding contracts? </w:t>
      </w:r>
    </w:p>
    <w:p w14:paraId="00000075" w14:textId="1B0B0D7E" w:rsidR="006E4CBF" w:rsidRDefault="00F24F9B">
      <w:pPr>
        <w:rPr>
          <w:rFonts w:ascii="Aptos" w:eastAsia="Aptos" w:hAnsi="Aptos" w:cs="Aptos"/>
          <w:color w:val="7030A0"/>
        </w:rPr>
      </w:pPr>
      <w:r>
        <w:rPr>
          <w:rFonts w:ascii="Aptos" w:eastAsia="Aptos" w:hAnsi="Aptos" w:cs="Aptos"/>
          <w:color w:val="7030A0"/>
        </w:rPr>
        <w:t>Appropriate penalties include the loss of a reservation deposit (perhaps a percentage of the accepted offer amount</w:t>
      </w:r>
      <w:r w:rsidR="0053750C">
        <w:rPr>
          <w:rFonts w:ascii="Aptos" w:eastAsia="Aptos" w:hAnsi="Aptos" w:cs="Aptos"/>
          <w:color w:val="7030A0"/>
        </w:rPr>
        <w:t>?</w:t>
      </w:r>
      <w:r>
        <w:rPr>
          <w:rFonts w:ascii="Aptos" w:eastAsia="Aptos" w:hAnsi="Aptos" w:cs="Aptos"/>
          <w:color w:val="7030A0"/>
        </w:rPr>
        <w:t xml:space="preserve">) or a capped compensation model similar to tenancy deposit schemes. </w:t>
      </w:r>
    </w:p>
    <w:p w14:paraId="00000076" w14:textId="2D6AC7AA" w:rsidR="006E4CBF" w:rsidRDefault="00F24F9B">
      <w:pPr>
        <w:rPr>
          <w:rFonts w:ascii="Aptos" w:eastAsia="Aptos" w:hAnsi="Aptos" w:cs="Aptos"/>
          <w:color w:val="7030A0"/>
        </w:rPr>
      </w:pPr>
      <w:r>
        <w:rPr>
          <w:rFonts w:ascii="Aptos" w:eastAsia="Aptos" w:hAnsi="Aptos" w:cs="Aptos"/>
          <w:color w:val="7030A0"/>
        </w:rPr>
        <w:t xml:space="preserve">However, where there are chains of transactions then consideration would have to be given </w:t>
      </w:r>
      <w:r w:rsidR="0053750C">
        <w:rPr>
          <w:rFonts w:ascii="Aptos" w:eastAsia="Aptos" w:hAnsi="Aptos" w:cs="Aptos"/>
          <w:color w:val="7030A0"/>
        </w:rPr>
        <w:t>on</w:t>
      </w:r>
      <w:r>
        <w:rPr>
          <w:rFonts w:ascii="Aptos" w:eastAsia="Aptos" w:hAnsi="Aptos" w:cs="Aptos"/>
          <w:color w:val="7030A0"/>
        </w:rPr>
        <w:t xml:space="preserve"> how to enable fairness across the chain. For example, if the </w:t>
      </w:r>
      <w:r w:rsidR="0053750C">
        <w:rPr>
          <w:rFonts w:ascii="Aptos" w:eastAsia="Aptos" w:hAnsi="Aptos" w:cs="Aptos"/>
          <w:color w:val="7030A0"/>
        </w:rPr>
        <w:t>third</w:t>
      </w:r>
      <w:r>
        <w:rPr>
          <w:rFonts w:ascii="Aptos" w:eastAsia="Aptos" w:hAnsi="Aptos" w:cs="Aptos"/>
          <w:color w:val="7030A0"/>
        </w:rPr>
        <w:t xml:space="preserve"> buyer in the chain pulled out of their sale and purchase</w:t>
      </w:r>
      <w:r w:rsidR="00847826">
        <w:rPr>
          <w:rFonts w:ascii="Aptos" w:eastAsia="Aptos" w:hAnsi="Aptos" w:cs="Aptos"/>
          <w:color w:val="7030A0"/>
        </w:rPr>
        <w:t>, perhaps because of a redundancy,</w:t>
      </w:r>
      <w:r>
        <w:rPr>
          <w:rFonts w:ascii="Aptos" w:eastAsia="Aptos" w:hAnsi="Aptos" w:cs="Aptos"/>
          <w:color w:val="7030A0"/>
        </w:rPr>
        <w:t xml:space="preserve"> then how would the compensation be paid and funded to buyer </w:t>
      </w:r>
      <w:r w:rsidR="0053750C">
        <w:rPr>
          <w:rFonts w:ascii="Aptos" w:eastAsia="Aptos" w:hAnsi="Aptos" w:cs="Aptos"/>
          <w:color w:val="7030A0"/>
        </w:rPr>
        <w:t>one and buyer two</w:t>
      </w:r>
      <w:r>
        <w:rPr>
          <w:rFonts w:ascii="Aptos" w:eastAsia="Aptos" w:hAnsi="Aptos" w:cs="Aptos"/>
          <w:color w:val="7030A0"/>
        </w:rPr>
        <w:t xml:space="preserve"> and the seller that buyer </w:t>
      </w:r>
      <w:r w:rsidR="0053750C">
        <w:rPr>
          <w:rFonts w:ascii="Aptos" w:eastAsia="Aptos" w:hAnsi="Aptos" w:cs="Aptos"/>
          <w:color w:val="7030A0"/>
        </w:rPr>
        <w:t>three</w:t>
      </w:r>
      <w:r>
        <w:rPr>
          <w:rFonts w:ascii="Aptos" w:eastAsia="Aptos" w:hAnsi="Aptos" w:cs="Aptos"/>
          <w:color w:val="7030A0"/>
        </w:rPr>
        <w:t xml:space="preserve"> was buying from</w:t>
      </w:r>
      <w:r w:rsidR="0053750C">
        <w:rPr>
          <w:rFonts w:ascii="Aptos" w:eastAsia="Aptos" w:hAnsi="Aptos" w:cs="Aptos"/>
          <w:color w:val="7030A0"/>
        </w:rPr>
        <w:t>?</w:t>
      </w:r>
    </w:p>
    <w:p w14:paraId="00000077" w14:textId="6BA2E9BD" w:rsidR="006E4CBF" w:rsidRDefault="0053750C">
      <w:pPr>
        <w:rPr>
          <w:rFonts w:ascii="Aptos" w:eastAsia="Aptos" w:hAnsi="Aptos" w:cs="Aptos"/>
          <w:color w:val="7030A0"/>
        </w:rPr>
      </w:pPr>
      <w:r>
        <w:rPr>
          <w:rFonts w:ascii="Aptos" w:eastAsia="Aptos" w:hAnsi="Aptos" w:cs="Aptos"/>
          <w:color w:val="7030A0"/>
        </w:rPr>
        <w:t>Research and enquiries</w:t>
      </w:r>
      <w:r w:rsidR="00F24F9B">
        <w:rPr>
          <w:rFonts w:ascii="Aptos" w:eastAsia="Aptos" w:hAnsi="Aptos" w:cs="Aptos"/>
          <w:color w:val="7030A0"/>
        </w:rPr>
        <w:t xml:space="preserve"> should be made of jurisdictions where binding offers are already used</w:t>
      </w:r>
      <w:r>
        <w:rPr>
          <w:rFonts w:ascii="Aptos" w:eastAsia="Aptos" w:hAnsi="Aptos" w:cs="Aptos"/>
          <w:color w:val="7030A0"/>
        </w:rPr>
        <w:t>,</w:t>
      </w:r>
      <w:r w:rsidR="00F24F9B">
        <w:rPr>
          <w:rFonts w:ascii="Aptos" w:eastAsia="Aptos" w:hAnsi="Aptos" w:cs="Aptos"/>
          <w:color w:val="7030A0"/>
        </w:rPr>
        <w:t xml:space="preserve"> and of insurers</w:t>
      </w:r>
      <w:r>
        <w:rPr>
          <w:rFonts w:ascii="Aptos" w:eastAsia="Aptos" w:hAnsi="Aptos" w:cs="Aptos"/>
          <w:color w:val="7030A0"/>
        </w:rPr>
        <w:t>,</w:t>
      </w:r>
      <w:r w:rsidR="00F24F9B">
        <w:rPr>
          <w:rFonts w:ascii="Aptos" w:eastAsia="Aptos" w:hAnsi="Aptos" w:cs="Aptos"/>
          <w:color w:val="7030A0"/>
        </w:rPr>
        <w:t xml:space="preserve"> to establish if an insurance product </w:t>
      </w:r>
      <w:r w:rsidR="00847826">
        <w:rPr>
          <w:rFonts w:ascii="Aptos" w:eastAsia="Aptos" w:hAnsi="Aptos" w:cs="Aptos"/>
          <w:color w:val="7030A0"/>
        </w:rPr>
        <w:t>could</w:t>
      </w:r>
      <w:r w:rsidR="00F24F9B">
        <w:rPr>
          <w:rFonts w:ascii="Aptos" w:eastAsia="Aptos" w:hAnsi="Aptos" w:cs="Aptos"/>
          <w:color w:val="7030A0"/>
        </w:rPr>
        <w:t xml:space="preserve"> support the binding offer with a reasonable premium, which </w:t>
      </w:r>
      <w:r>
        <w:rPr>
          <w:rFonts w:ascii="Aptos" w:eastAsia="Aptos" w:hAnsi="Aptos" w:cs="Aptos"/>
          <w:color w:val="7030A0"/>
        </w:rPr>
        <w:t>would also</w:t>
      </w:r>
      <w:r w:rsidR="00F24F9B">
        <w:rPr>
          <w:rFonts w:ascii="Aptos" w:eastAsia="Aptos" w:hAnsi="Aptos" w:cs="Aptos"/>
          <w:color w:val="7030A0"/>
        </w:rPr>
        <w:t xml:space="preserve"> support buyers and sellers who do not have sufficient savings to pay a penalty if they have to withdraw.</w:t>
      </w:r>
      <w:r w:rsidR="005D5CA5">
        <w:rPr>
          <w:rFonts w:ascii="Aptos" w:eastAsia="Aptos" w:hAnsi="Aptos" w:cs="Aptos"/>
          <w:color w:val="7030A0"/>
        </w:rPr>
        <w:t xml:space="preserve"> It should be recognised that the premium for an insurance product would not provide a meaningful incentive rather than a full financial commitment which would eradicate the purpose of the binding agreement.</w:t>
      </w:r>
    </w:p>
    <w:p w14:paraId="00000078" w14:textId="77777777" w:rsidR="006E4CBF" w:rsidRPr="00ED672A" w:rsidRDefault="00F24F9B" w:rsidP="00ED672A">
      <w:pPr>
        <w:pStyle w:val="Heading2"/>
        <w:rPr>
          <w:rFonts w:ascii="Aptos" w:hAnsi="Aptos"/>
          <w:sz w:val="22"/>
        </w:rPr>
      </w:pPr>
      <w:bookmarkStart w:id="28" w:name="_Toc215492008"/>
      <w:r w:rsidRPr="00ED672A">
        <w:rPr>
          <w:rFonts w:ascii="Aptos" w:hAnsi="Aptos"/>
          <w:sz w:val="22"/>
        </w:rPr>
        <w:t>Question 22</w:t>
      </w:r>
      <w:bookmarkEnd w:id="28"/>
    </w:p>
    <w:p w14:paraId="00000079" w14:textId="77777777" w:rsidR="006E4CBF" w:rsidRDefault="00F24F9B">
      <w:pPr>
        <w:rPr>
          <w:rFonts w:ascii="Aptos" w:eastAsia="Aptos" w:hAnsi="Aptos" w:cs="Aptos"/>
        </w:rPr>
      </w:pPr>
      <w:r>
        <w:rPr>
          <w:rFonts w:ascii="Aptos" w:eastAsia="Aptos" w:hAnsi="Aptos" w:cs="Aptos"/>
        </w:rPr>
        <w:t>Would there be any listed exceptions, or certain situations, for binding contracts not being applied?</w:t>
      </w:r>
    </w:p>
    <w:p w14:paraId="0000007A" w14:textId="374B5913" w:rsidR="006E4CBF" w:rsidRDefault="00F24F9B">
      <w:pPr>
        <w:rPr>
          <w:rFonts w:ascii="Aptos" w:eastAsia="Aptos" w:hAnsi="Aptos" w:cs="Aptos"/>
          <w:color w:val="7030A0"/>
        </w:rPr>
      </w:pPr>
      <w:r>
        <w:rPr>
          <w:rFonts w:ascii="Aptos" w:eastAsia="Aptos" w:hAnsi="Aptos" w:cs="Aptos"/>
          <w:color w:val="7030A0"/>
        </w:rPr>
        <w:t>No</w:t>
      </w:r>
      <w:r w:rsidR="0053750C">
        <w:rPr>
          <w:rFonts w:ascii="Aptos" w:eastAsia="Aptos" w:hAnsi="Aptos" w:cs="Aptos"/>
          <w:color w:val="7030A0"/>
        </w:rPr>
        <w:t>,</w:t>
      </w:r>
      <w:r>
        <w:rPr>
          <w:rFonts w:ascii="Aptos" w:eastAsia="Aptos" w:hAnsi="Aptos" w:cs="Aptos"/>
          <w:color w:val="7030A0"/>
        </w:rPr>
        <w:t xml:space="preserve"> exceptions: probate sales, repossessions, or properties subject to ongoing disputes or title defects would be dealt with during the review of upfront information to identify Material Information.</w:t>
      </w:r>
    </w:p>
    <w:p w14:paraId="0000007B" w14:textId="20FEB0DE" w:rsidR="006E4CBF" w:rsidRDefault="00F24F9B">
      <w:pPr>
        <w:rPr>
          <w:rFonts w:ascii="Aptos" w:eastAsia="Aptos" w:hAnsi="Aptos" w:cs="Aptos"/>
          <w:color w:val="7030A0"/>
        </w:rPr>
      </w:pPr>
      <w:r>
        <w:rPr>
          <w:rFonts w:ascii="Aptos" w:eastAsia="Aptos" w:hAnsi="Aptos" w:cs="Aptos"/>
          <w:color w:val="7030A0"/>
        </w:rPr>
        <w:t>Again, this is likely to change consumer behaviour</w:t>
      </w:r>
      <w:r w:rsidR="00DD0FEB">
        <w:rPr>
          <w:rFonts w:ascii="Aptos" w:eastAsia="Aptos" w:hAnsi="Aptos" w:cs="Aptos"/>
          <w:color w:val="7030A0"/>
        </w:rPr>
        <w:t xml:space="preserve">. </w:t>
      </w:r>
      <w:r>
        <w:rPr>
          <w:rFonts w:ascii="Aptos" w:eastAsia="Aptos" w:hAnsi="Aptos" w:cs="Aptos"/>
          <w:color w:val="7030A0"/>
        </w:rPr>
        <w:t>Would someone make an offer and enter into a binding contract that has set time lines where the executor doesn’t have probate</w:t>
      </w:r>
      <w:r w:rsidR="0053750C">
        <w:rPr>
          <w:rFonts w:ascii="Aptos" w:eastAsia="Aptos" w:hAnsi="Aptos" w:cs="Aptos"/>
          <w:color w:val="7030A0"/>
        </w:rPr>
        <w:t>?</w:t>
      </w:r>
      <w:r>
        <w:rPr>
          <w:rFonts w:ascii="Aptos" w:eastAsia="Aptos" w:hAnsi="Aptos" w:cs="Aptos"/>
          <w:color w:val="7030A0"/>
        </w:rPr>
        <w:t xml:space="preserve"> Or is the answer not to list them until you have probate (which would have less impact on chains)</w:t>
      </w:r>
      <w:r w:rsidR="0053750C">
        <w:rPr>
          <w:rFonts w:ascii="Aptos" w:eastAsia="Aptos" w:hAnsi="Aptos" w:cs="Aptos"/>
          <w:color w:val="7030A0"/>
        </w:rPr>
        <w:t>?</w:t>
      </w:r>
      <w:r>
        <w:rPr>
          <w:rFonts w:ascii="Aptos" w:eastAsia="Aptos" w:hAnsi="Aptos" w:cs="Aptos"/>
          <w:color w:val="7030A0"/>
        </w:rPr>
        <w:t xml:space="preserve"> For properties with title issues it would drive the behaviour of getting them resolved prior to listing or </w:t>
      </w:r>
      <w:r w:rsidR="0053750C">
        <w:rPr>
          <w:rFonts w:ascii="Aptos" w:eastAsia="Aptos" w:hAnsi="Aptos" w:cs="Aptos"/>
          <w:color w:val="7030A0"/>
        </w:rPr>
        <w:t xml:space="preserve">be </w:t>
      </w:r>
      <w:r>
        <w:rPr>
          <w:rFonts w:ascii="Aptos" w:eastAsia="Aptos" w:hAnsi="Aptos" w:cs="Aptos"/>
          <w:color w:val="7030A0"/>
        </w:rPr>
        <w:t>reflected in the price.</w:t>
      </w:r>
    </w:p>
    <w:p w14:paraId="0000007C" w14:textId="77777777" w:rsidR="006E4CBF" w:rsidRDefault="00F24F9B">
      <w:pPr>
        <w:rPr>
          <w:rFonts w:ascii="Aptos" w:eastAsia="Aptos" w:hAnsi="Aptos" w:cs="Aptos"/>
          <w:color w:val="7030A0"/>
        </w:rPr>
      </w:pPr>
      <w:r>
        <w:rPr>
          <w:rFonts w:ascii="Aptos" w:eastAsia="Aptos" w:hAnsi="Aptos" w:cs="Aptos"/>
          <w:color w:val="7030A0"/>
        </w:rPr>
        <w:t>However, each party would state their chain and mortgage position to be taken into account which would encourage honesty.</w:t>
      </w:r>
    </w:p>
    <w:p w14:paraId="06C878A5" w14:textId="77777777" w:rsidR="006A735D" w:rsidRPr="006A735D" w:rsidRDefault="006A735D">
      <w:pPr>
        <w:rPr>
          <w:rFonts w:ascii="Aptos" w:eastAsia="Aptos" w:hAnsi="Aptos" w:cs="Aptos"/>
          <w:color w:val="EE0000"/>
        </w:rPr>
      </w:pPr>
    </w:p>
    <w:tbl>
      <w:tblPr>
        <w:tblStyle w:val="a3"/>
        <w:tblW w:w="9643" w:type="dxa"/>
        <w:tblLayout w:type="fixed"/>
        <w:tblLook w:val="0400" w:firstRow="0" w:lastRow="0" w:firstColumn="0" w:lastColumn="0" w:noHBand="0" w:noVBand="1"/>
      </w:tblPr>
      <w:tblGrid>
        <w:gridCol w:w="3009"/>
        <w:gridCol w:w="6634"/>
      </w:tblGrid>
      <w:tr w:rsidR="006E4CBF" w14:paraId="4F87F4D4" w14:textId="77777777" w:rsidTr="00ED672A">
        <w:trPr>
          <w:trHeight w:val="1084"/>
        </w:trPr>
        <w:tc>
          <w:tcPr>
            <w:tcW w:w="3009" w:type="dxa"/>
          </w:tcPr>
          <w:p w14:paraId="0000007D" w14:textId="77777777" w:rsidR="006E4CBF" w:rsidRDefault="00F24F9B">
            <w:pPr>
              <w:ind w:left="44"/>
              <w:rPr>
                <w:rFonts w:ascii="Aptos" w:eastAsia="Aptos" w:hAnsi="Aptos" w:cs="Aptos"/>
              </w:rPr>
            </w:pPr>
            <w:r>
              <w:rPr>
                <w:rFonts w:ascii="Aptos" w:eastAsia="Aptos" w:hAnsi="Aptos" w:cs="Aptos"/>
                <w:b/>
                <w:bCs/>
              </w:rPr>
              <w:t xml:space="preserve">BUYER'S POSITION: </w:t>
            </w:r>
          </w:p>
        </w:tc>
        <w:tc>
          <w:tcPr>
            <w:tcW w:w="6634" w:type="dxa"/>
          </w:tcPr>
          <w:p w14:paraId="0000007E" w14:textId="4C046651" w:rsidR="006E4CBF" w:rsidRDefault="00F24F9B">
            <w:pPr>
              <w:spacing w:after="4"/>
              <w:ind w:left="44"/>
              <w:rPr>
                <w:rFonts w:ascii="Aptos" w:eastAsia="Aptos" w:hAnsi="Aptos" w:cs="Aptos"/>
              </w:rPr>
            </w:pPr>
            <w:r>
              <w:rPr>
                <w:rFonts w:ascii="Aptos" w:eastAsia="Aptos" w:hAnsi="Aptos" w:cs="Aptos"/>
              </w:rPr>
              <w:t xml:space="preserve">Mortgage: [Required] [In principle approved] [Not required - cash buyer] </w:t>
            </w:r>
          </w:p>
          <w:p w14:paraId="0000007F" w14:textId="77777777" w:rsidR="006E4CBF" w:rsidRDefault="00F24F9B">
            <w:pPr>
              <w:ind w:left="44"/>
              <w:rPr>
                <w:rFonts w:ascii="Aptos" w:eastAsia="Aptos" w:hAnsi="Aptos" w:cs="Aptos"/>
              </w:rPr>
            </w:pPr>
            <w:r>
              <w:rPr>
                <w:rFonts w:ascii="Aptos" w:eastAsia="Aptos" w:hAnsi="Aptos" w:cs="Aptos"/>
              </w:rPr>
              <w:t xml:space="preserve">Chain : [Chain free – not dependent on a sale] [Dependent on a sale] </w:t>
            </w:r>
          </w:p>
          <w:p w14:paraId="00000080" w14:textId="171ACD2E" w:rsidR="006E4CBF" w:rsidRDefault="006E4CBF">
            <w:pPr>
              <w:ind w:left="44"/>
              <w:rPr>
                <w:rFonts w:ascii="Aptos" w:eastAsia="Aptos" w:hAnsi="Aptos" w:cs="Aptos"/>
              </w:rPr>
            </w:pPr>
          </w:p>
        </w:tc>
      </w:tr>
      <w:tr w:rsidR="006E4CBF" w14:paraId="2DC8548A" w14:textId="77777777" w:rsidTr="00ED672A">
        <w:trPr>
          <w:trHeight w:val="816"/>
        </w:trPr>
        <w:tc>
          <w:tcPr>
            <w:tcW w:w="3009" w:type="dxa"/>
          </w:tcPr>
          <w:p w14:paraId="00000081" w14:textId="77777777" w:rsidR="006E4CBF" w:rsidRDefault="00F24F9B">
            <w:pPr>
              <w:ind w:left="44"/>
              <w:rPr>
                <w:rFonts w:ascii="Aptos" w:eastAsia="Aptos" w:hAnsi="Aptos" w:cs="Aptos"/>
              </w:rPr>
            </w:pPr>
            <w:r>
              <w:rPr>
                <w:rFonts w:ascii="Aptos" w:eastAsia="Aptos" w:hAnsi="Aptos" w:cs="Aptos"/>
                <w:b/>
                <w:bCs/>
              </w:rPr>
              <w:t xml:space="preserve">SELLER'S POSITION </w:t>
            </w:r>
          </w:p>
        </w:tc>
        <w:tc>
          <w:tcPr>
            <w:tcW w:w="6634" w:type="dxa"/>
          </w:tcPr>
          <w:p w14:paraId="489763EB" w14:textId="23D4A58E" w:rsidR="006A735D" w:rsidRDefault="00F24F9B" w:rsidP="006A735D">
            <w:pPr>
              <w:spacing w:after="5"/>
              <w:ind w:left="44"/>
              <w:rPr>
                <w:rFonts w:ascii="Aptos" w:eastAsia="Aptos" w:hAnsi="Aptos" w:cs="Aptos"/>
              </w:rPr>
            </w:pPr>
            <w:r>
              <w:rPr>
                <w:rFonts w:ascii="Aptos" w:eastAsia="Aptos" w:hAnsi="Aptos" w:cs="Aptos"/>
              </w:rPr>
              <w:t xml:space="preserve">Chain : [Chain free – not dependent on a purchase] [Dependent on a purchase] </w:t>
            </w:r>
          </w:p>
          <w:p w14:paraId="3C9201F9" w14:textId="77777777" w:rsidR="006A735D" w:rsidRDefault="006A735D" w:rsidP="006A735D">
            <w:pPr>
              <w:spacing w:after="5"/>
              <w:ind w:left="44"/>
              <w:rPr>
                <w:rFonts w:ascii="Aptos" w:eastAsia="Aptos" w:hAnsi="Aptos" w:cs="Aptos"/>
              </w:rPr>
            </w:pPr>
          </w:p>
          <w:p w14:paraId="060D0A5F" w14:textId="77777777" w:rsidR="006A735D" w:rsidRDefault="006A735D" w:rsidP="006A735D">
            <w:pPr>
              <w:spacing w:after="5"/>
              <w:ind w:left="44"/>
              <w:rPr>
                <w:rFonts w:ascii="Aptos" w:eastAsia="Aptos" w:hAnsi="Aptos" w:cs="Aptos"/>
              </w:rPr>
            </w:pPr>
          </w:p>
          <w:p w14:paraId="4C30D045" w14:textId="77777777" w:rsidR="006A735D" w:rsidRDefault="006A735D" w:rsidP="006A735D">
            <w:pPr>
              <w:spacing w:after="5"/>
              <w:ind w:left="44"/>
              <w:rPr>
                <w:rFonts w:ascii="Aptos" w:eastAsia="Aptos" w:hAnsi="Aptos" w:cs="Aptos"/>
              </w:rPr>
            </w:pPr>
          </w:p>
          <w:p w14:paraId="00000083" w14:textId="3A902635" w:rsidR="006A735D" w:rsidRDefault="006A735D" w:rsidP="006A735D">
            <w:pPr>
              <w:spacing w:after="5"/>
              <w:ind w:left="44"/>
              <w:rPr>
                <w:rFonts w:ascii="Aptos" w:eastAsia="Aptos" w:hAnsi="Aptos" w:cs="Aptos"/>
              </w:rPr>
            </w:pPr>
          </w:p>
        </w:tc>
      </w:tr>
    </w:tbl>
    <w:p w14:paraId="3E01E9BD" w14:textId="77777777" w:rsidR="00E4174E" w:rsidRPr="00E4174E" w:rsidRDefault="0030773E" w:rsidP="00E4174E">
      <w:pPr>
        <w:pStyle w:val="Heading2"/>
      </w:pPr>
      <w:bookmarkStart w:id="29" w:name="_Toc215492009"/>
      <w:r>
        <w:t>G</w:t>
      </w:r>
      <w:r w:rsidR="00E4174E" w:rsidRPr="00E4174E">
        <w:t>. Increasing consumer education and transparency</w:t>
      </w:r>
      <w:bookmarkEnd w:id="29"/>
    </w:p>
    <w:p w14:paraId="00000085" w14:textId="77777777" w:rsidR="006E4CBF" w:rsidRPr="00ED672A" w:rsidRDefault="00F24F9B" w:rsidP="00ED672A">
      <w:pPr>
        <w:pStyle w:val="Heading2"/>
        <w:rPr>
          <w:rFonts w:ascii="Aptos" w:hAnsi="Aptos"/>
          <w:sz w:val="22"/>
        </w:rPr>
      </w:pPr>
      <w:bookmarkStart w:id="30" w:name="_Toc215492010"/>
      <w:r w:rsidRPr="00ED672A">
        <w:rPr>
          <w:rFonts w:ascii="Aptos" w:hAnsi="Aptos"/>
          <w:sz w:val="22"/>
        </w:rPr>
        <w:t>Question 23</w:t>
      </w:r>
      <w:bookmarkEnd w:id="30"/>
    </w:p>
    <w:p w14:paraId="00000086" w14:textId="77777777" w:rsidR="006E4CBF" w:rsidRDefault="00F24F9B">
      <w:pPr>
        <w:rPr>
          <w:rFonts w:ascii="Aptos" w:eastAsia="Aptos" w:hAnsi="Aptos" w:cs="Aptos"/>
        </w:rPr>
      </w:pPr>
      <w:r>
        <w:rPr>
          <w:rFonts w:ascii="Aptos" w:eastAsia="Aptos" w:hAnsi="Aptos" w:cs="Aptos"/>
        </w:rPr>
        <w:t>Do you agree that publishing information on the services of property professionals would improve home buying and selling by supporting consumer choice and driving competition?</w:t>
      </w:r>
    </w:p>
    <w:p w14:paraId="00000087" w14:textId="252CA2C0" w:rsidR="006E4CBF" w:rsidRDefault="00F24F9B">
      <w:pPr>
        <w:rPr>
          <w:rFonts w:ascii="Aptos" w:eastAsia="Aptos" w:hAnsi="Aptos" w:cs="Aptos"/>
          <w:color w:val="7030A0"/>
        </w:rPr>
      </w:pPr>
      <w:r>
        <w:rPr>
          <w:rFonts w:ascii="Aptos" w:eastAsia="Aptos" w:hAnsi="Aptos" w:cs="Aptos"/>
          <w:color w:val="7030A0"/>
        </w:rPr>
        <w:t>Education of consumers should focus on explaining to them how the home buying and selling process works</w:t>
      </w:r>
      <w:r w:rsidR="00765730">
        <w:rPr>
          <w:rFonts w:ascii="Aptos" w:eastAsia="Aptos" w:hAnsi="Aptos" w:cs="Aptos"/>
          <w:color w:val="7030A0"/>
        </w:rPr>
        <w:t xml:space="preserve">, </w:t>
      </w:r>
      <w:r>
        <w:rPr>
          <w:rFonts w:ascii="Aptos" w:eastAsia="Aptos" w:hAnsi="Aptos" w:cs="Aptos"/>
          <w:color w:val="7030A0"/>
        </w:rPr>
        <w:t>what is expected of them and what to expect of the professionals in the process.</w:t>
      </w:r>
    </w:p>
    <w:p w14:paraId="00000088" w14:textId="356E057B" w:rsidR="006E4CBF" w:rsidRDefault="00F24F9B">
      <w:pPr>
        <w:rPr>
          <w:rFonts w:ascii="Aptos" w:eastAsia="Aptos" w:hAnsi="Aptos" w:cs="Aptos"/>
          <w:color w:val="7030A0"/>
        </w:rPr>
      </w:pPr>
      <w:r>
        <w:rPr>
          <w:rFonts w:ascii="Aptos" w:eastAsia="Aptos" w:hAnsi="Aptos" w:cs="Aptos"/>
          <w:color w:val="7030A0"/>
        </w:rPr>
        <w:t>Whil</w:t>
      </w:r>
      <w:r w:rsidR="00765730">
        <w:rPr>
          <w:rFonts w:ascii="Aptos" w:eastAsia="Aptos" w:hAnsi="Aptos" w:cs="Aptos"/>
          <w:color w:val="7030A0"/>
        </w:rPr>
        <w:t>e</w:t>
      </w:r>
      <w:r>
        <w:rPr>
          <w:rFonts w:ascii="Aptos" w:eastAsia="Aptos" w:hAnsi="Aptos" w:cs="Aptos"/>
          <w:color w:val="7030A0"/>
        </w:rPr>
        <w:t xml:space="preserve"> transparency can drive quality and competition, consumers must be able to see meaningful metrics. However, it will be very difficult to identify the appropriate measures given client </w:t>
      </w:r>
      <w:r w:rsidR="00847826">
        <w:rPr>
          <w:rFonts w:ascii="Aptos" w:eastAsia="Aptos" w:hAnsi="Aptos" w:cs="Aptos"/>
          <w:color w:val="7030A0"/>
        </w:rPr>
        <w:t>instructions</w:t>
      </w:r>
      <w:r w:rsidR="00765730">
        <w:rPr>
          <w:rFonts w:ascii="Aptos" w:eastAsia="Aptos" w:hAnsi="Aptos" w:cs="Aptos"/>
          <w:color w:val="7030A0"/>
        </w:rPr>
        <w:t>,</w:t>
      </w:r>
      <w:r w:rsidR="00847826">
        <w:rPr>
          <w:rFonts w:ascii="Aptos" w:eastAsia="Aptos" w:hAnsi="Aptos" w:cs="Aptos"/>
          <w:color w:val="7030A0"/>
        </w:rPr>
        <w:t xml:space="preserve"> or</w:t>
      </w:r>
      <w:r>
        <w:rPr>
          <w:rFonts w:ascii="Aptos" w:eastAsia="Aptos" w:hAnsi="Aptos" w:cs="Aptos"/>
          <w:color w:val="7030A0"/>
        </w:rPr>
        <w:t xml:space="preserve"> the complexity of the title</w:t>
      </w:r>
      <w:r w:rsidR="00765730">
        <w:rPr>
          <w:rFonts w:ascii="Aptos" w:eastAsia="Aptos" w:hAnsi="Aptos" w:cs="Aptos"/>
          <w:color w:val="7030A0"/>
        </w:rPr>
        <w:t>,</w:t>
      </w:r>
      <w:r>
        <w:rPr>
          <w:rFonts w:ascii="Aptos" w:eastAsia="Aptos" w:hAnsi="Aptos" w:cs="Aptos"/>
          <w:color w:val="7030A0"/>
        </w:rPr>
        <w:t xml:space="preserve"> often dictate </w:t>
      </w:r>
      <w:r w:rsidR="00847826">
        <w:rPr>
          <w:rFonts w:ascii="Aptos" w:eastAsia="Aptos" w:hAnsi="Aptos" w:cs="Aptos"/>
          <w:color w:val="7030A0"/>
        </w:rPr>
        <w:t>turnaround</w:t>
      </w:r>
      <w:r>
        <w:rPr>
          <w:rFonts w:ascii="Aptos" w:eastAsia="Aptos" w:hAnsi="Aptos" w:cs="Aptos"/>
          <w:color w:val="7030A0"/>
        </w:rPr>
        <w:t xml:space="preserve"> times and are outside of the control of property professionals.</w:t>
      </w:r>
    </w:p>
    <w:p w14:paraId="00000089" w14:textId="79F3F62C" w:rsidR="006E4CBF" w:rsidRDefault="00765730">
      <w:pPr>
        <w:rPr>
          <w:rFonts w:ascii="Aptos" w:eastAsia="Aptos" w:hAnsi="Aptos" w:cs="Aptos"/>
          <w:color w:val="7030A0"/>
        </w:rPr>
      </w:pPr>
      <w:r>
        <w:rPr>
          <w:rFonts w:ascii="Aptos" w:eastAsia="Aptos" w:hAnsi="Aptos" w:cs="Aptos"/>
          <w:color w:val="7030A0"/>
        </w:rPr>
        <w:t>P</w:t>
      </w:r>
      <w:r w:rsidR="00F24F9B">
        <w:rPr>
          <w:rFonts w:ascii="Aptos" w:eastAsia="Aptos" w:hAnsi="Aptos" w:cs="Aptos"/>
          <w:color w:val="7030A0"/>
        </w:rPr>
        <w:t>ublishing delays</w:t>
      </w:r>
      <w:r>
        <w:rPr>
          <w:rFonts w:ascii="Aptos" w:eastAsia="Aptos" w:hAnsi="Aptos" w:cs="Aptos"/>
          <w:color w:val="7030A0"/>
        </w:rPr>
        <w:t xml:space="preserve">, specifically for those firms dealing </w:t>
      </w:r>
      <w:r w:rsidR="00F24F9B">
        <w:rPr>
          <w:rFonts w:ascii="Aptos" w:eastAsia="Aptos" w:hAnsi="Aptos" w:cs="Aptos"/>
          <w:color w:val="7030A0"/>
        </w:rPr>
        <w:t>with complex cases</w:t>
      </w:r>
      <w:r>
        <w:rPr>
          <w:rFonts w:ascii="Aptos" w:eastAsia="Aptos" w:hAnsi="Aptos" w:cs="Aptos"/>
          <w:color w:val="7030A0"/>
        </w:rPr>
        <w:t xml:space="preserve">, </w:t>
      </w:r>
      <w:r w:rsidR="00F24F9B">
        <w:rPr>
          <w:rFonts w:ascii="Aptos" w:eastAsia="Aptos" w:hAnsi="Aptos" w:cs="Aptos"/>
          <w:color w:val="7030A0"/>
        </w:rPr>
        <w:t xml:space="preserve"> could prevent </w:t>
      </w:r>
      <w:r>
        <w:rPr>
          <w:rFonts w:ascii="Aptos" w:eastAsia="Aptos" w:hAnsi="Aptos" w:cs="Aptos"/>
          <w:color w:val="7030A0"/>
        </w:rPr>
        <w:t>them</w:t>
      </w:r>
      <w:r w:rsidR="00F24F9B">
        <w:rPr>
          <w:rFonts w:ascii="Aptos" w:eastAsia="Aptos" w:hAnsi="Aptos" w:cs="Aptos"/>
          <w:color w:val="7030A0"/>
        </w:rPr>
        <w:t xml:space="preserve"> from taking the difficult cases, for example</w:t>
      </w:r>
      <w:r>
        <w:rPr>
          <w:rFonts w:ascii="Aptos" w:eastAsia="Aptos" w:hAnsi="Aptos" w:cs="Aptos"/>
          <w:color w:val="7030A0"/>
        </w:rPr>
        <w:t>,</w:t>
      </w:r>
      <w:r w:rsidR="00F24F9B">
        <w:rPr>
          <w:rFonts w:ascii="Aptos" w:eastAsia="Aptos" w:hAnsi="Aptos" w:cs="Aptos"/>
          <w:color w:val="7030A0"/>
        </w:rPr>
        <w:t xml:space="preserve"> high rise buildings, leasehold, managed freehold, shared ownership and estate rentcharges</w:t>
      </w:r>
      <w:r>
        <w:rPr>
          <w:rFonts w:ascii="Aptos" w:eastAsia="Aptos" w:hAnsi="Aptos" w:cs="Aptos"/>
          <w:color w:val="7030A0"/>
        </w:rPr>
        <w:t xml:space="preserve">. This would make it </w:t>
      </w:r>
      <w:r w:rsidR="00F24F9B">
        <w:rPr>
          <w:rFonts w:ascii="Aptos" w:eastAsia="Aptos" w:hAnsi="Aptos" w:cs="Aptos"/>
          <w:color w:val="7030A0"/>
        </w:rPr>
        <w:t>impossible</w:t>
      </w:r>
      <w:r>
        <w:rPr>
          <w:rFonts w:ascii="Aptos" w:eastAsia="Aptos" w:hAnsi="Aptos" w:cs="Aptos"/>
          <w:color w:val="7030A0"/>
        </w:rPr>
        <w:t>,</w:t>
      </w:r>
      <w:r w:rsidR="00F24F9B">
        <w:rPr>
          <w:rFonts w:ascii="Aptos" w:eastAsia="Aptos" w:hAnsi="Aptos" w:cs="Aptos"/>
          <w:color w:val="7030A0"/>
        </w:rPr>
        <w:t xml:space="preserve"> or unreasonably costly</w:t>
      </w:r>
      <w:r>
        <w:rPr>
          <w:rFonts w:ascii="Aptos" w:eastAsia="Aptos" w:hAnsi="Aptos" w:cs="Aptos"/>
          <w:color w:val="7030A0"/>
        </w:rPr>
        <w:t>,</w:t>
      </w:r>
      <w:r w:rsidR="00F24F9B">
        <w:rPr>
          <w:rFonts w:ascii="Aptos" w:eastAsia="Aptos" w:hAnsi="Aptos" w:cs="Aptos"/>
          <w:color w:val="7030A0"/>
        </w:rPr>
        <w:t xml:space="preserve"> for those who own properties with complex titles, many of whom will be the least able to afford the cost of dealing with complex titles. </w:t>
      </w:r>
    </w:p>
    <w:p w14:paraId="0000008A" w14:textId="570CBD5F" w:rsidR="006E4CBF" w:rsidRDefault="00F24F9B">
      <w:pPr>
        <w:rPr>
          <w:rFonts w:ascii="Aptos" w:eastAsia="Aptos" w:hAnsi="Aptos" w:cs="Aptos"/>
          <w:color w:val="7030A0"/>
        </w:rPr>
      </w:pPr>
      <w:r>
        <w:rPr>
          <w:rFonts w:ascii="Aptos" w:eastAsia="Aptos" w:hAnsi="Aptos" w:cs="Aptos"/>
          <w:color w:val="7030A0"/>
        </w:rPr>
        <w:t>Some firms will target ‘vanilla’ easier cases whil</w:t>
      </w:r>
      <w:r w:rsidR="00765730">
        <w:rPr>
          <w:rFonts w:ascii="Aptos" w:eastAsia="Aptos" w:hAnsi="Aptos" w:cs="Aptos"/>
          <w:color w:val="7030A0"/>
        </w:rPr>
        <w:t>e</w:t>
      </w:r>
      <w:r>
        <w:rPr>
          <w:rFonts w:ascii="Aptos" w:eastAsia="Aptos" w:hAnsi="Aptos" w:cs="Aptos"/>
          <w:color w:val="7030A0"/>
        </w:rPr>
        <w:t xml:space="preserve"> others will target more complex work. To then apply measurements across the board with no understanding or appreciation of the </w:t>
      </w:r>
      <w:r w:rsidR="00847826">
        <w:rPr>
          <w:rFonts w:ascii="Aptos" w:eastAsia="Aptos" w:hAnsi="Aptos" w:cs="Aptos"/>
          <w:color w:val="7030A0"/>
        </w:rPr>
        <w:t>work type</w:t>
      </w:r>
      <w:r>
        <w:rPr>
          <w:rFonts w:ascii="Aptos" w:eastAsia="Aptos" w:hAnsi="Aptos" w:cs="Aptos"/>
          <w:color w:val="7030A0"/>
        </w:rPr>
        <w:t xml:space="preserve"> could potentially produce very unfair results. </w:t>
      </w:r>
      <w:r w:rsidR="00847826">
        <w:rPr>
          <w:rFonts w:ascii="Aptos" w:eastAsia="Aptos" w:hAnsi="Aptos" w:cs="Aptos"/>
          <w:color w:val="7030A0"/>
        </w:rPr>
        <w:t>Similarly,</w:t>
      </w:r>
      <w:r>
        <w:rPr>
          <w:rFonts w:ascii="Aptos" w:eastAsia="Aptos" w:hAnsi="Aptos" w:cs="Aptos"/>
          <w:color w:val="7030A0"/>
        </w:rPr>
        <w:t xml:space="preserve"> firms that specialise in leasehold work would be at a disadvantage in any such league tables due to the complexity and delays created by landlords and property managers.</w:t>
      </w:r>
    </w:p>
    <w:p w14:paraId="0000008B" w14:textId="77777777" w:rsidR="006E4CBF" w:rsidRPr="00ED672A" w:rsidRDefault="00F24F9B" w:rsidP="00ED672A">
      <w:pPr>
        <w:pStyle w:val="Heading2"/>
        <w:rPr>
          <w:rFonts w:ascii="Aptos" w:hAnsi="Aptos"/>
          <w:sz w:val="22"/>
        </w:rPr>
      </w:pPr>
      <w:bookmarkStart w:id="31" w:name="_Toc215492011"/>
      <w:r w:rsidRPr="00ED672A">
        <w:rPr>
          <w:rFonts w:ascii="Aptos" w:hAnsi="Aptos"/>
          <w:sz w:val="22"/>
        </w:rPr>
        <w:t>Question 24</w:t>
      </w:r>
      <w:bookmarkEnd w:id="31"/>
    </w:p>
    <w:p w14:paraId="0000008C" w14:textId="77777777" w:rsidR="006E4CBF" w:rsidRDefault="00F24F9B">
      <w:pPr>
        <w:rPr>
          <w:rFonts w:ascii="Aptos" w:eastAsia="Aptos" w:hAnsi="Aptos" w:cs="Aptos"/>
        </w:rPr>
      </w:pPr>
      <w:r>
        <w:rPr>
          <w:rFonts w:ascii="Aptos" w:eastAsia="Aptos" w:hAnsi="Aptos" w:cs="Aptos"/>
        </w:rPr>
        <w:t>What information would you want to see included in a service of this type?</w:t>
      </w:r>
    </w:p>
    <w:p w14:paraId="0000008D" w14:textId="0435476E" w:rsidR="006E4CBF" w:rsidRDefault="00847826">
      <w:pPr>
        <w:rPr>
          <w:rFonts w:ascii="Aptos" w:eastAsia="Aptos" w:hAnsi="Aptos" w:cs="Aptos"/>
          <w:color w:val="7030A0"/>
        </w:rPr>
      </w:pPr>
      <w:r>
        <w:rPr>
          <w:rFonts w:ascii="Aptos" w:eastAsia="Aptos" w:hAnsi="Aptos" w:cs="Aptos"/>
          <w:color w:val="7030A0"/>
        </w:rPr>
        <w:t>Digital readiness, complaints upheld as a percentage of their workload, and participation in data-sharing initiatives and service type</w:t>
      </w:r>
      <w:r w:rsidR="00765730">
        <w:rPr>
          <w:rFonts w:ascii="Aptos" w:eastAsia="Aptos" w:hAnsi="Aptos" w:cs="Aptos"/>
          <w:color w:val="7030A0"/>
        </w:rPr>
        <w:t xml:space="preserve">, for example, </w:t>
      </w:r>
      <w:r>
        <w:rPr>
          <w:rFonts w:ascii="Aptos" w:eastAsia="Aptos" w:hAnsi="Aptos" w:cs="Aptos"/>
          <w:color w:val="7030A0"/>
        </w:rPr>
        <w:t xml:space="preserve">supporting digital signatures, digital </w:t>
      </w:r>
      <w:r w:rsidR="00765730">
        <w:rPr>
          <w:rFonts w:ascii="Aptos" w:eastAsia="Aptos" w:hAnsi="Aptos" w:cs="Aptos"/>
          <w:color w:val="7030A0"/>
        </w:rPr>
        <w:t>i</w:t>
      </w:r>
      <w:r>
        <w:rPr>
          <w:rFonts w:ascii="Aptos" w:eastAsia="Aptos" w:hAnsi="Aptos" w:cs="Aptos"/>
          <w:color w:val="7030A0"/>
        </w:rPr>
        <w:t xml:space="preserve">dentity and digital AML processes, whether they allow for </w:t>
      </w:r>
      <w:r w:rsidR="00765730">
        <w:rPr>
          <w:rFonts w:ascii="Aptos" w:eastAsia="Aptos" w:hAnsi="Aptos" w:cs="Aptos"/>
          <w:color w:val="7030A0"/>
        </w:rPr>
        <w:t>face-to-face</w:t>
      </w:r>
      <w:r>
        <w:rPr>
          <w:rFonts w:ascii="Aptos" w:eastAsia="Aptos" w:hAnsi="Aptos" w:cs="Aptos"/>
          <w:color w:val="7030A0"/>
        </w:rPr>
        <w:t xml:space="preserve"> meetings and contract reporting</w:t>
      </w:r>
      <w:r w:rsidR="00765730">
        <w:rPr>
          <w:rFonts w:ascii="Aptos" w:eastAsia="Aptos" w:hAnsi="Aptos" w:cs="Aptos"/>
          <w:color w:val="7030A0"/>
        </w:rPr>
        <w:t>,</w:t>
      </w:r>
      <w:r>
        <w:rPr>
          <w:rFonts w:ascii="Aptos" w:eastAsia="Aptos" w:hAnsi="Aptos" w:cs="Aptos"/>
          <w:color w:val="7030A0"/>
        </w:rPr>
        <w:t xml:space="preserve"> and whether their staff take phone calls when working from home.</w:t>
      </w:r>
    </w:p>
    <w:p w14:paraId="0000008E" w14:textId="77777777" w:rsidR="006E4CBF" w:rsidRPr="00ED672A" w:rsidRDefault="00F24F9B" w:rsidP="00ED672A">
      <w:pPr>
        <w:pStyle w:val="Heading2"/>
        <w:rPr>
          <w:rFonts w:ascii="Aptos" w:hAnsi="Aptos"/>
          <w:sz w:val="22"/>
        </w:rPr>
      </w:pPr>
      <w:bookmarkStart w:id="32" w:name="_Toc215492012"/>
      <w:r w:rsidRPr="00ED672A">
        <w:rPr>
          <w:rFonts w:ascii="Aptos" w:hAnsi="Aptos"/>
          <w:sz w:val="22"/>
        </w:rPr>
        <w:t>Question 25</w:t>
      </w:r>
      <w:bookmarkEnd w:id="32"/>
    </w:p>
    <w:p w14:paraId="0000008F" w14:textId="77777777" w:rsidR="006E4CBF" w:rsidRDefault="00F24F9B">
      <w:pPr>
        <w:rPr>
          <w:rFonts w:ascii="Aptos" w:eastAsia="Aptos" w:hAnsi="Aptos" w:cs="Aptos"/>
        </w:rPr>
      </w:pPr>
      <w:r>
        <w:rPr>
          <w:rFonts w:ascii="Aptos" w:eastAsia="Aptos" w:hAnsi="Aptos" w:cs="Aptos"/>
        </w:rPr>
        <w:t>Do you think a charter as set out above would be useful in supporting consumers to identify quality property professional services?</w:t>
      </w:r>
    </w:p>
    <w:p w14:paraId="00000090" w14:textId="1652A09A" w:rsidR="006E4CBF" w:rsidRDefault="00F24F9B">
      <w:pPr>
        <w:rPr>
          <w:rFonts w:ascii="Aptos" w:eastAsia="Aptos" w:hAnsi="Aptos" w:cs="Aptos"/>
          <w:color w:val="7030A0"/>
        </w:rPr>
      </w:pPr>
      <w:r>
        <w:rPr>
          <w:rFonts w:ascii="Aptos" w:eastAsia="Aptos" w:hAnsi="Aptos" w:cs="Aptos"/>
          <w:color w:val="7030A0"/>
        </w:rPr>
        <w:t>Yes. A cross-profession charter could unify standards, reinforce consumer and sector understanding of who does what in the process, and act as a trust badge for compliant professionals. It is also important to identify for consumers who to go to for advice on the information which they receive</w:t>
      </w:r>
      <w:r w:rsidR="00765730">
        <w:rPr>
          <w:rFonts w:ascii="Aptos" w:eastAsia="Aptos" w:hAnsi="Aptos" w:cs="Aptos"/>
          <w:color w:val="7030A0"/>
        </w:rPr>
        <w:t>,</w:t>
      </w:r>
      <w:r>
        <w:rPr>
          <w:rFonts w:ascii="Aptos" w:eastAsia="Aptos" w:hAnsi="Aptos" w:cs="Aptos"/>
          <w:color w:val="7030A0"/>
        </w:rPr>
        <w:t xml:space="preserve"> for example, conveyancing lawyers cannot advi</w:t>
      </w:r>
      <w:r w:rsidR="00765730">
        <w:rPr>
          <w:rFonts w:ascii="Aptos" w:eastAsia="Aptos" w:hAnsi="Aptos" w:cs="Aptos"/>
          <w:color w:val="7030A0"/>
        </w:rPr>
        <w:t>s</w:t>
      </w:r>
      <w:r>
        <w:rPr>
          <w:rFonts w:ascii="Aptos" w:eastAsia="Aptos" w:hAnsi="Aptos" w:cs="Aptos"/>
          <w:color w:val="7030A0"/>
        </w:rPr>
        <w:t>e on SDLT or Capital Gains Tax and it should be highlighted to buyers and sellers they will need to employ a tax adviser if they might be exempt from SDLT</w:t>
      </w:r>
      <w:r w:rsidR="00765730">
        <w:rPr>
          <w:rFonts w:ascii="Aptos" w:eastAsia="Aptos" w:hAnsi="Aptos" w:cs="Aptos"/>
          <w:color w:val="7030A0"/>
        </w:rPr>
        <w:t>,</w:t>
      </w:r>
      <w:r>
        <w:rPr>
          <w:rFonts w:ascii="Aptos" w:eastAsia="Aptos" w:hAnsi="Aptos" w:cs="Aptos"/>
          <w:color w:val="7030A0"/>
        </w:rPr>
        <w:t xml:space="preserve"> or CGT might apply to their sale.</w:t>
      </w:r>
    </w:p>
    <w:p w14:paraId="6A70DC96" w14:textId="77777777" w:rsidR="008F225A" w:rsidRPr="008F225A" w:rsidRDefault="0030773E" w:rsidP="008F225A">
      <w:pPr>
        <w:pStyle w:val="Heading2"/>
      </w:pPr>
      <w:bookmarkStart w:id="33" w:name="_Toc215492013"/>
      <w:r>
        <w:t>H</w:t>
      </w:r>
      <w:r w:rsidR="008F225A" w:rsidRPr="008F225A">
        <w:t>. Streamlining transactions</w:t>
      </w:r>
      <w:bookmarkEnd w:id="33"/>
    </w:p>
    <w:p w14:paraId="00000091" w14:textId="77777777" w:rsidR="006E4CBF" w:rsidRPr="00ED672A" w:rsidRDefault="00F24F9B" w:rsidP="00ED672A">
      <w:pPr>
        <w:pStyle w:val="Heading2"/>
        <w:rPr>
          <w:rFonts w:ascii="Aptos" w:hAnsi="Aptos"/>
          <w:sz w:val="22"/>
        </w:rPr>
      </w:pPr>
      <w:bookmarkStart w:id="34" w:name="_Toc215492014"/>
      <w:r w:rsidRPr="00ED672A">
        <w:rPr>
          <w:rFonts w:ascii="Aptos" w:hAnsi="Aptos"/>
          <w:sz w:val="22"/>
        </w:rPr>
        <w:t>Question 26</w:t>
      </w:r>
      <w:bookmarkEnd w:id="34"/>
    </w:p>
    <w:p w14:paraId="00000092" w14:textId="77777777" w:rsidR="006E4CBF" w:rsidRDefault="00F24F9B">
      <w:pPr>
        <w:rPr>
          <w:rFonts w:ascii="Aptos" w:eastAsia="Aptos" w:hAnsi="Aptos" w:cs="Aptos"/>
        </w:rPr>
      </w:pPr>
      <w:r>
        <w:rPr>
          <w:rFonts w:ascii="Aptos" w:eastAsia="Aptos" w:hAnsi="Aptos" w:cs="Aptos"/>
        </w:rPr>
        <w:t xml:space="preserve">Do you agree that AML checks should be streamlined? </w:t>
      </w:r>
    </w:p>
    <w:p w14:paraId="00000093" w14:textId="78D72B61" w:rsidR="006E4CBF" w:rsidRDefault="00F24F9B">
      <w:pPr>
        <w:rPr>
          <w:rFonts w:ascii="Aptos" w:eastAsia="Aptos" w:hAnsi="Aptos" w:cs="Aptos"/>
          <w:color w:val="7030A0"/>
        </w:rPr>
      </w:pPr>
      <w:r>
        <w:rPr>
          <w:rFonts w:ascii="Aptos" w:eastAsia="Aptos" w:hAnsi="Aptos" w:cs="Aptos"/>
          <w:color w:val="7030A0"/>
        </w:rPr>
        <w:t>Yes. The government should mandate mutual recognition of verified digital IDs and AML requirements across regulated entities, whil</w:t>
      </w:r>
      <w:r w:rsidR="00765730">
        <w:rPr>
          <w:rFonts w:ascii="Aptos" w:eastAsia="Aptos" w:hAnsi="Aptos" w:cs="Aptos"/>
          <w:color w:val="7030A0"/>
        </w:rPr>
        <w:t>e</w:t>
      </w:r>
      <w:r>
        <w:rPr>
          <w:rFonts w:ascii="Aptos" w:eastAsia="Aptos" w:hAnsi="Aptos" w:cs="Aptos"/>
          <w:color w:val="7030A0"/>
        </w:rPr>
        <w:t xml:space="preserve"> requiring the suppliers of the checks to meet the standards required by the AML legislation applicable to the transaction. </w:t>
      </w:r>
    </w:p>
    <w:p w14:paraId="00000094" w14:textId="581F0BA9" w:rsidR="006E4CBF" w:rsidRDefault="00F24F9B">
      <w:pPr>
        <w:rPr>
          <w:rFonts w:ascii="Aptos" w:eastAsia="Aptos" w:hAnsi="Aptos" w:cs="Aptos"/>
          <w:color w:val="7030A0"/>
        </w:rPr>
      </w:pPr>
      <w:r>
        <w:rPr>
          <w:rFonts w:ascii="Aptos" w:eastAsia="Aptos" w:hAnsi="Aptos" w:cs="Aptos"/>
          <w:color w:val="7030A0"/>
        </w:rPr>
        <w:t>Recent news that the FCA will take responsibility for AML from HMRC does not recognise the obligations of industry regulators regarding AML. To make this efficient and effective</w:t>
      </w:r>
      <w:r w:rsidR="00765730">
        <w:rPr>
          <w:rFonts w:ascii="Aptos" w:eastAsia="Aptos" w:hAnsi="Aptos" w:cs="Aptos"/>
          <w:color w:val="7030A0"/>
        </w:rPr>
        <w:t>,</w:t>
      </w:r>
      <w:r>
        <w:rPr>
          <w:rFonts w:ascii="Aptos" w:eastAsia="Aptos" w:hAnsi="Aptos" w:cs="Aptos"/>
          <w:color w:val="7030A0"/>
        </w:rPr>
        <w:t xml:space="preserve"> AML compliance should be based on a single, reliable source of information.</w:t>
      </w:r>
    </w:p>
    <w:p w14:paraId="3EA412CD" w14:textId="10B02071" w:rsidR="00765730" w:rsidRDefault="00F24F9B">
      <w:pPr>
        <w:rPr>
          <w:rFonts w:ascii="Aptos" w:eastAsia="Aptos" w:hAnsi="Aptos" w:cs="Aptos"/>
          <w:color w:val="7030A0"/>
        </w:rPr>
      </w:pPr>
      <w:r>
        <w:rPr>
          <w:rFonts w:ascii="Aptos" w:eastAsia="Aptos" w:hAnsi="Aptos" w:cs="Aptos"/>
          <w:color w:val="7030A0"/>
        </w:rPr>
        <w:t>One source of ID in AML should be held to the highest standard required of the regulatory bodies of the stakeholders in the transaction and be shareable with all of the stakeholders. Proving source of funds and source of wealth can be hugely time</w:t>
      </w:r>
      <w:r w:rsidR="00765730">
        <w:rPr>
          <w:rFonts w:ascii="Aptos" w:eastAsia="Aptos" w:hAnsi="Aptos" w:cs="Aptos"/>
          <w:color w:val="7030A0"/>
        </w:rPr>
        <w:t>-</w:t>
      </w:r>
      <w:r>
        <w:rPr>
          <w:rFonts w:ascii="Aptos" w:eastAsia="Aptos" w:hAnsi="Aptos" w:cs="Aptos"/>
          <w:color w:val="7030A0"/>
        </w:rPr>
        <w:t>consuming and a poor customer experience especially when duplicated multiple times with different rules and requirements for each stakeholder</w:t>
      </w:r>
      <w:r w:rsidR="00DD0FEB">
        <w:rPr>
          <w:rFonts w:ascii="Aptos" w:eastAsia="Aptos" w:hAnsi="Aptos" w:cs="Aptos"/>
          <w:color w:val="7030A0"/>
        </w:rPr>
        <w:t xml:space="preserve">. </w:t>
      </w:r>
    </w:p>
    <w:p w14:paraId="00000095" w14:textId="6F5F85FC" w:rsidR="006E4CBF" w:rsidRDefault="00F24F9B">
      <w:pPr>
        <w:rPr>
          <w:rFonts w:ascii="Aptos" w:eastAsia="Aptos" w:hAnsi="Aptos" w:cs="Aptos"/>
          <w:color w:val="7030A0"/>
        </w:rPr>
      </w:pPr>
      <w:r>
        <w:rPr>
          <w:rFonts w:ascii="Aptos" w:eastAsia="Aptos" w:hAnsi="Aptos" w:cs="Aptos"/>
          <w:color w:val="7030A0"/>
        </w:rPr>
        <w:t>If there are digital options that can be marked as satisfying the legislative requirements and which can be securely shared by stakeholders this can reduce money laundering and improve the customer journey.</w:t>
      </w:r>
    </w:p>
    <w:p w14:paraId="00000096" w14:textId="77777777" w:rsidR="006E4CBF" w:rsidRDefault="00F24F9B">
      <w:pPr>
        <w:rPr>
          <w:rFonts w:ascii="Aptos" w:eastAsia="Aptos" w:hAnsi="Aptos" w:cs="Aptos"/>
          <w:color w:val="7030A0"/>
        </w:rPr>
      </w:pPr>
      <w:r>
        <w:rPr>
          <w:rFonts w:ascii="Aptos" w:eastAsia="Aptos" w:hAnsi="Aptos" w:cs="Aptos"/>
          <w:color w:val="7030A0"/>
        </w:rPr>
        <w:t xml:space="preserve">The distinction needs to be made clearer between AML/ID checks and Source of Funds/Source of Wealth. The government have taken steps to address the former but the latter is woefully behind. The information that a buyer provides to a lender on funds is different to that provided to the conveyancer and different again to that provided to the agent. </w:t>
      </w:r>
    </w:p>
    <w:p w14:paraId="00000097" w14:textId="77777777" w:rsidR="006E4CBF" w:rsidRDefault="00F24F9B">
      <w:pPr>
        <w:rPr>
          <w:rFonts w:ascii="Aptos" w:eastAsia="Aptos" w:hAnsi="Aptos" w:cs="Aptos"/>
          <w:color w:val="7030A0"/>
        </w:rPr>
      </w:pPr>
      <w:r>
        <w:rPr>
          <w:rFonts w:ascii="Aptos" w:eastAsia="Aptos" w:hAnsi="Aptos" w:cs="Aptos"/>
          <w:color w:val="7030A0"/>
        </w:rPr>
        <w:t xml:space="preserve">A seller would, no doubt, favour a buyer that had already completed SOF/SOW checks with all parties, especially the conveyancer. </w:t>
      </w:r>
    </w:p>
    <w:p w14:paraId="00000098" w14:textId="23F1B3EB" w:rsidR="006E4CBF" w:rsidRDefault="00F24F9B">
      <w:pPr>
        <w:rPr>
          <w:rFonts w:ascii="Aptos" w:eastAsia="Aptos" w:hAnsi="Aptos" w:cs="Aptos"/>
          <w:color w:val="7030A0"/>
        </w:rPr>
      </w:pPr>
      <w:r>
        <w:rPr>
          <w:rFonts w:ascii="Aptos" w:eastAsia="Aptos" w:hAnsi="Aptos" w:cs="Aptos"/>
          <w:color w:val="7030A0"/>
        </w:rPr>
        <w:t>The suppliers of the digital services need to be supported and encouraged to extend services from Digital ID to include AML and Source of Funds/Source of Wealth, achievable using Open Banking.</w:t>
      </w:r>
    </w:p>
    <w:p w14:paraId="00000099" w14:textId="750AEE3C" w:rsidR="006E4CBF" w:rsidRDefault="00F24F9B">
      <w:pPr>
        <w:rPr>
          <w:rFonts w:ascii="Aptos" w:eastAsia="Aptos" w:hAnsi="Aptos" w:cs="Aptos"/>
          <w:color w:val="7030A0"/>
        </w:rPr>
      </w:pPr>
      <w:r>
        <w:rPr>
          <w:rFonts w:ascii="Aptos" w:eastAsia="Aptos" w:hAnsi="Aptos" w:cs="Aptos"/>
          <w:color w:val="7030A0"/>
        </w:rPr>
        <w:t>As the intention of the legislation is to prevent organised money laundering, should a de minimis amount such as £5,000 be instigated where the AML activities are not required, to avoid delay and excessive AML requirements for single or linked transactions.</w:t>
      </w:r>
    </w:p>
    <w:p w14:paraId="0000009A" w14:textId="77777777" w:rsidR="006E4CBF" w:rsidRPr="00ED672A" w:rsidRDefault="00F24F9B" w:rsidP="00ED672A">
      <w:pPr>
        <w:pStyle w:val="Heading2"/>
        <w:rPr>
          <w:rFonts w:ascii="Aptos" w:hAnsi="Aptos"/>
          <w:sz w:val="22"/>
        </w:rPr>
      </w:pPr>
      <w:bookmarkStart w:id="35" w:name="_Toc215492015"/>
      <w:r w:rsidRPr="00ED672A">
        <w:rPr>
          <w:rFonts w:ascii="Aptos" w:hAnsi="Aptos"/>
          <w:sz w:val="22"/>
        </w:rPr>
        <w:t>Question 27</w:t>
      </w:r>
      <w:bookmarkEnd w:id="35"/>
    </w:p>
    <w:p w14:paraId="0000009B" w14:textId="5EFF0E03" w:rsidR="006E4CBF" w:rsidRDefault="00F24F9B">
      <w:pPr>
        <w:rPr>
          <w:rFonts w:ascii="Aptos" w:eastAsia="Aptos" w:hAnsi="Aptos" w:cs="Aptos"/>
        </w:rPr>
      </w:pPr>
      <w:r>
        <w:rPr>
          <w:rFonts w:ascii="Aptos" w:eastAsia="Aptos" w:hAnsi="Aptos" w:cs="Aptos"/>
        </w:rPr>
        <w:t>How can government most effectively support the application of AI conveyancing technology</w:t>
      </w:r>
      <w:r w:rsidR="00DD0FEB">
        <w:rPr>
          <w:rFonts w:ascii="Aptos" w:eastAsia="Aptos" w:hAnsi="Aptos" w:cs="Aptos"/>
        </w:rPr>
        <w:t xml:space="preserve">? </w:t>
      </w:r>
    </w:p>
    <w:p w14:paraId="1E08AC97" w14:textId="27A57652" w:rsidR="009321B9" w:rsidRPr="00C34906" w:rsidRDefault="00000000">
      <w:pPr>
        <w:rPr>
          <w:rFonts w:ascii="Aptos" w:eastAsia="Aptos" w:hAnsi="Aptos" w:cs="Aptos"/>
          <w:color w:val="7030A0"/>
        </w:rPr>
      </w:pPr>
      <w:sdt>
        <w:sdtPr>
          <w:tag w:val="goog_rdk_19"/>
          <w:id w:val="-167579926"/>
          <w:showingPlcHdr/>
        </w:sdtPr>
        <w:sdtContent>
          <w:r w:rsidR="00BD29DE">
            <w:t xml:space="preserve">     </w:t>
          </w:r>
        </w:sdtContent>
      </w:sdt>
      <w:r w:rsidR="00240A0D">
        <w:rPr>
          <w:rFonts w:ascii="Aptos" w:eastAsia="Aptos" w:hAnsi="Aptos" w:cs="Aptos"/>
          <w:color w:val="7030A0"/>
        </w:rPr>
        <w:t>Government must liaise with insurers to ensure they are happy with the basis on which AI is used.</w:t>
      </w:r>
      <w:r w:rsidR="00AD25B3">
        <w:rPr>
          <w:rFonts w:ascii="Aptos" w:eastAsia="Aptos" w:hAnsi="Aptos" w:cs="Aptos"/>
          <w:color w:val="7030A0"/>
        </w:rPr>
        <w:t xml:space="preserve"> </w:t>
      </w:r>
      <w:r w:rsidR="009321B9" w:rsidRPr="00C34906">
        <w:rPr>
          <w:rFonts w:ascii="Aptos" w:eastAsia="Aptos" w:hAnsi="Aptos" w:cs="Aptos"/>
          <w:color w:val="7030A0"/>
        </w:rPr>
        <w:t>Government intervention should not dictate specific technologies; it should create the conditions for safe, interoperable, accountable innovation. If implemented well, AI will reduce transaction times, improve risk management, and free conveyancers to focus on complex legal judgment, rather than repetitive administrative tasks.</w:t>
      </w:r>
    </w:p>
    <w:p w14:paraId="4BEEAA61" w14:textId="4773FC27" w:rsidR="009321B9" w:rsidRPr="00C34906" w:rsidRDefault="00C34906" w:rsidP="009321B9">
      <w:pPr>
        <w:rPr>
          <w:rFonts w:ascii="Aptos" w:eastAsia="Aptos" w:hAnsi="Aptos" w:cs="Aptos"/>
          <w:color w:val="7030A0"/>
        </w:rPr>
      </w:pPr>
      <w:r w:rsidRPr="00C34906">
        <w:rPr>
          <w:rFonts w:ascii="Aptos" w:eastAsia="Aptos" w:hAnsi="Aptos" w:cs="Aptos"/>
          <w:color w:val="7030A0"/>
        </w:rPr>
        <w:t>I</w:t>
      </w:r>
      <w:r w:rsidR="009321B9" w:rsidRPr="00C34906">
        <w:rPr>
          <w:rFonts w:ascii="Aptos" w:eastAsia="Aptos" w:hAnsi="Aptos" w:cs="Aptos"/>
          <w:color w:val="7030A0"/>
        </w:rPr>
        <w:t>nterventions should include:</w:t>
      </w:r>
    </w:p>
    <w:p w14:paraId="2B808E9D"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1. Establish Clear Regulatory Parameters</w:t>
      </w:r>
    </w:p>
    <w:p w14:paraId="7DEBE44A" w14:textId="77388BA9" w:rsidR="009321B9" w:rsidRPr="00C34906" w:rsidRDefault="009321B9" w:rsidP="009321B9">
      <w:pPr>
        <w:rPr>
          <w:rFonts w:ascii="Aptos" w:eastAsia="Aptos" w:hAnsi="Aptos" w:cs="Aptos"/>
          <w:color w:val="7030A0"/>
        </w:rPr>
      </w:pPr>
      <w:r w:rsidRPr="00C34906">
        <w:rPr>
          <w:rFonts w:ascii="Aptos" w:eastAsia="Aptos" w:hAnsi="Aptos" w:cs="Aptos"/>
          <w:color w:val="7030A0"/>
        </w:rPr>
        <w:t>Provide guidance clarifying how AI can be used within existing legal frameworks, including responsibilities for oversight, liability, data handling, and professional accountability. This will give firms the confidence to invest without uncertainty over compliance.</w:t>
      </w:r>
      <w:r w:rsidR="00240A0D">
        <w:rPr>
          <w:rFonts w:ascii="Aptos" w:eastAsia="Aptos" w:hAnsi="Aptos" w:cs="Aptos"/>
          <w:color w:val="7030A0"/>
        </w:rPr>
        <w:t xml:space="preserve"> Ensuring private personal data is protected from being shared outside of the data controller using the AI. Education on the inherent risk in using personal data with open source large language models.</w:t>
      </w:r>
    </w:p>
    <w:p w14:paraId="26462E04"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2. Standardise Digital Property Data</w:t>
      </w:r>
    </w:p>
    <w:p w14:paraId="6D601B6E"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Promote interoperable data formats across local authorities, HM Land Registry, utility providers, and environmental data sources. AI systems rely on structured, machine-readable data—standardisation is essential to meaningful automation.</w:t>
      </w:r>
    </w:p>
    <w:p w14:paraId="49E3D210"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3. Support Digital Identity and e-Signature Adoption</w:t>
      </w:r>
    </w:p>
    <w:p w14:paraId="43FE8C6D" w14:textId="4F52C8DB" w:rsidR="009321B9" w:rsidRPr="00C34906" w:rsidRDefault="009321B9" w:rsidP="009321B9">
      <w:pPr>
        <w:rPr>
          <w:rFonts w:ascii="Aptos" w:eastAsia="Aptos" w:hAnsi="Aptos" w:cs="Aptos"/>
          <w:color w:val="7030A0"/>
        </w:rPr>
      </w:pPr>
      <w:r w:rsidRPr="00C34906">
        <w:rPr>
          <w:rFonts w:ascii="Aptos" w:eastAsia="Aptos" w:hAnsi="Aptos" w:cs="Aptos"/>
          <w:color w:val="7030A0"/>
        </w:rPr>
        <w:t>Ensure secure digital identity verification and qualified electronic signatures are recognised and seamlessly integrated. These are foundational to enabling AI-driven workflows without reverting to paper or in-person checks.</w:t>
      </w:r>
    </w:p>
    <w:p w14:paraId="0B1539F4"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4. Invest in Skills and Capacity Building</w:t>
      </w:r>
    </w:p>
    <w:p w14:paraId="485CFB5D"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Provide funding, accreditation pathways, and CPD frameworks to support conveyancers in developing digital literacy and AI oversight skills. AI must augment, not replace, professional judgment, and staff must be equipped to supervise automated outputs.</w:t>
      </w:r>
    </w:p>
    <w:p w14:paraId="2A61B426"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5. Encourage Pilots and Sandboxes</w:t>
      </w:r>
    </w:p>
    <w:p w14:paraId="0148EF46"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Establish regulatory sandboxes for AI in conveyancing to test solutions in a controlled environment. This enables innovation while maintaining consumer protection, similar to successful fintech models.</w:t>
      </w:r>
    </w:p>
    <w:p w14:paraId="0EC074FA"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6. Strengthen Cybersecurity Requirements</w:t>
      </w:r>
    </w:p>
    <w:p w14:paraId="08544C47"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AI systems increase the volume and sensitivity of digital property data. Mandatory cybersecurity standards and certification would help maintain trust and reduce exposure to cyber risk.</w:t>
      </w:r>
    </w:p>
    <w:p w14:paraId="631AF77F" w14:textId="77777777" w:rsidR="009321B9" w:rsidRPr="00C34906" w:rsidRDefault="009321B9" w:rsidP="009321B9">
      <w:pPr>
        <w:rPr>
          <w:rFonts w:ascii="Aptos" w:eastAsia="Aptos" w:hAnsi="Aptos" w:cs="Aptos"/>
          <w:color w:val="7030A0"/>
        </w:rPr>
      </w:pPr>
      <w:r w:rsidRPr="00C34906">
        <w:rPr>
          <w:rFonts w:ascii="Aptos" w:eastAsia="Aptos" w:hAnsi="Aptos" w:cs="Aptos"/>
          <w:color w:val="7030A0"/>
        </w:rPr>
        <w:t>7. Promote Public Awareness and Trust</w:t>
      </w:r>
    </w:p>
    <w:p w14:paraId="5B7E98D6" w14:textId="09AC1162" w:rsidR="009321B9" w:rsidRPr="00C34906" w:rsidRDefault="009321B9" w:rsidP="009321B9">
      <w:pPr>
        <w:rPr>
          <w:rFonts w:ascii="Aptos" w:eastAsia="Aptos" w:hAnsi="Aptos" w:cs="Aptos"/>
          <w:color w:val="7030A0"/>
        </w:rPr>
      </w:pPr>
      <w:r w:rsidRPr="00C34906">
        <w:rPr>
          <w:rFonts w:ascii="Aptos" w:eastAsia="Aptos" w:hAnsi="Aptos" w:cs="Aptos"/>
          <w:color w:val="7030A0"/>
        </w:rPr>
        <w:t>AI adoption will only succeed if consumers understand its benefits</w:t>
      </w:r>
      <w:r w:rsidR="00AD25B3">
        <w:rPr>
          <w:rFonts w:ascii="Aptos" w:eastAsia="Aptos" w:hAnsi="Aptos" w:cs="Aptos"/>
          <w:color w:val="7030A0"/>
        </w:rPr>
        <w:t xml:space="preserve"> - </w:t>
      </w:r>
      <w:r w:rsidRPr="00C34906">
        <w:rPr>
          <w:rFonts w:ascii="Aptos" w:eastAsia="Aptos" w:hAnsi="Aptos" w:cs="Aptos"/>
          <w:color w:val="7030A0"/>
        </w:rPr>
        <w:t>speed, accuracy, and reduced transaction failure</w:t>
      </w:r>
      <w:r w:rsidR="00AD25B3">
        <w:rPr>
          <w:rFonts w:ascii="Aptos" w:eastAsia="Aptos" w:hAnsi="Aptos" w:cs="Aptos"/>
          <w:color w:val="7030A0"/>
        </w:rPr>
        <w:t xml:space="preserve"> - </w:t>
      </w:r>
      <w:r w:rsidRPr="00C34906">
        <w:rPr>
          <w:rFonts w:ascii="Aptos" w:eastAsia="Aptos" w:hAnsi="Aptos" w:cs="Aptos"/>
          <w:color w:val="7030A0"/>
        </w:rPr>
        <w:t>while being reassured professionals remain accountable for outcomes.</w:t>
      </w:r>
    </w:p>
    <w:p w14:paraId="0000009E" w14:textId="11B8E7DB" w:rsidR="006E4CBF" w:rsidRPr="00ED672A" w:rsidRDefault="00F24F9B" w:rsidP="00BD29DE">
      <w:pPr>
        <w:pStyle w:val="Heading2"/>
      </w:pPr>
      <w:r w:rsidRPr="00ED672A">
        <w:t>Question 28</w:t>
      </w:r>
    </w:p>
    <w:p w14:paraId="0000009F" w14:textId="77777777" w:rsidR="006E4CBF" w:rsidRDefault="00F24F9B">
      <w:pPr>
        <w:rPr>
          <w:rFonts w:ascii="Aptos" w:eastAsia="Aptos" w:hAnsi="Aptos" w:cs="Aptos"/>
        </w:rPr>
      </w:pPr>
      <w:r>
        <w:rPr>
          <w:rFonts w:ascii="Aptos" w:eastAsia="Aptos" w:hAnsi="Aptos" w:cs="Aptos"/>
        </w:rPr>
        <w:t>What else do you think government should do to streamline the conveyancing process?</w:t>
      </w:r>
    </w:p>
    <w:p w14:paraId="000000A0" w14:textId="77777777" w:rsidR="006E4CBF" w:rsidRDefault="00F24F9B">
      <w:pPr>
        <w:rPr>
          <w:rFonts w:ascii="Aptos" w:eastAsia="Aptos" w:hAnsi="Aptos" w:cs="Aptos"/>
          <w:color w:val="7030A0"/>
        </w:rPr>
      </w:pPr>
      <w:r>
        <w:rPr>
          <w:rFonts w:ascii="Aptos" w:eastAsia="Aptos" w:hAnsi="Aptos" w:cs="Aptos"/>
          <w:color w:val="7030A0"/>
        </w:rPr>
        <w:t xml:space="preserve">Mandate use of Property Data Trust Framework and standard APIs between all sectors and public bodies. </w:t>
      </w:r>
    </w:p>
    <w:p w14:paraId="000000A1" w14:textId="77777777" w:rsidR="006E4CBF" w:rsidRDefault="00F24F9B">
      <w:pPr>
        <w:rPr>
          <w:rFonts w:ascii="Aptos" w:eastAsia="Aptos" w:hAnsi="Aptos" w:cs="Aptos"/>
          <w:color w:val="7030A0"/>
        </w:rPr>
      </w:pPr>
      <w:r>
        <w:rPr>
          <w:rFonts w:ascii="Aptos" w:eastAsia="Aptos" w:hAnsi="Aptos" w:cs="Aptos"/>
          <w:color w:val="7030A0"/>
        </w:rPr>
        <w:t xml:space="preserve">Attach the UPRN to every piece of property data. When viewing and buying a car you can see through gov.uk, based on the car registration number, the MOT, any advisories, the tax position and as an owner you can confirm your sale of the property to DVLA. </w:t>
      </w:r>
    </w:p>
    <w:p w14:paraId="000000A2" w14:textId="4099D6F7" w:rsidR="006E4CBF" w:rsidRDefault="00F24F9B">
      <w:pPr>
        <w:rPr>
          <w:rFonts w:ascii="Aptos" w:eastAsia="Aptos" w:hAnsi="Aptos" w:cs="Aptos"/>
          <w:color w:val="7030A0"/>
        </w:rPr>
      </w:pPr>
      <w:r>
        <w:rPr>
          <w:rFonts w:ascii="Aptos" w:eastAsia="Aptos" w:hAnsi="Aptos" w:cs="Aptos"/>
          <w:color w:val="7030A0"/>
        </w:rPr>
        <w:t>Introduce secure portals across the chain to reduce delays and enable communication between all parties</w:t>
      </w:r>
      <w:r w:rsidR="00DD0FEB">
        <w:rPr>
          <w:rFonts w:ascii="Aptos" w:eastAsia="Aptos" w:hAnsi="Aptos" w:cs="Aptos"/>
          <w:color w:val="7030A0"/>
        </w:rPr>
        <w:t xml:space="preserve">. </w:t>
      </w:r>
    </w:p>
    <w:p w14:paraId="5AE49075" w14:textId="0BCAFD0D" w:rsidR="00D92E10" w:rsidRDefault="00D92E10" w:rsidP="00D92E10">
      <w:pPr>
        <w:rPr>
          <w:rFonts w:ascii="Aptos" w:eastAsia="Aptos" w:hAnsi="Aptos" w:cs="Aptos"/>
          <w:color w:val="7030A0"/>
        </w:rPr>
      </w:pPr>
      <w:r>
        <w:rPr>
          <w:rFonts w:ascii="Aptos" w:eastAsia="Aptos" w:hAnsi="Aptos" w:cs="Aptos"/>
          <w:color w:val="7030A0"/>
        </w:rPr>
        <w:t>Enabling this would improve returns for the Treasury, whil</w:t>
      </w:r>
      <w:r w:rsidR="00AD25B3">
        <w:rPr>
          <w:rFonts w:ascii="Aptos" w:eastAsia="Aptos" w:hAnsi="Aptos" w:cs="Aptos"/>
          <w:color w:val="7030A0"/>
        </w:rPr>
        <w:t>e</w:t>
      </w:r>
      <w:r>
        <w:rPr>
          <w:rFonts w:ascii="Aptos" w:eastAsia="Aptos" w:hAnsi="Aptos" w:cs="Aptos"/>
          <w:color w:val="7030A0"/>
        </w:rPr>
        <w:t xml:space="preserve"> reducing fraud payouts under the </w:t>
      </w:r>
      <w:r w:rsidR="00D25B20">
        <w:rPr>
          <w:rFonts w:ascii="Aptos" w:eastAsia="Aptos" w:hAnsi="Aptos" w:cs="Aptos"/>
          <w:color w:val="7030A0"/>
        </w:rPr>
        <w:t xml:space="preserve">HMLR </w:t>
      </w:r>
      <w:r>
        <w:rPr>
          <w:rFonts w:ascii="Aptos" w:eastAsia="Aptos" w:hAnsi="Aptos" w:cs="Aptos"/>
          <w:color w:val="7030A0"/>
        </w:rPr>
        <w:t xml:space="preserve">indemnity if HM Land Registry tied ID to a title register and the UPRN. That could then </w:t>
      </w:r>
      <w:r w:rsidR="00D25B20">
        <w:rPr>
          <w:rFonts w:ascii="Aptos" w:eastAsia="Aptos" w:hAnsi="Aptos" w:cs="Aptos"/>
          <w:color w:val="7030A0"/>
        </w:rPr>
        <w:t>link</w:t>
      </w:r>
      <w:r>
        <w:rPr>
          <w:rFonts w:ascii="Aptos" w:eastAsia="Aptos" w:hAnsi="Aptos" w:cs="Aptos"/>
          <w:color w:val="7030A0"/>
        </w:rPr>
        <w:t xml:space="preserve"> to HMRC, Work and Pension, Probate Registry, Office of Public Guardians</w:t>
      </w:r>
      <w:r w:rsidR="00AD25B3">
        <w:rPr>
          <w:rFonts w:ascii="Aptos" w:eastAsia="Aptos" w:hAnsi="Aptos" w:cs="Aptos"/>
          <w:color w:val="7030A0"/>
        </w:rPr>
        <w:t>,</w:t>
      </w:r>
      <w:r>
        <w:rPr>
          <w:rFonts w:ascii="Aptos" w:eastAsia="Aptos" w:hAnsi="Aptos" w:cs="Aptos"/>
          <w:color w:val="7030A0"/>
        </w:rPr>
        <w:t xml:space="preserve"> </w:t>
      </w:r>
      <w:r w:rsidR="00DD0FEB">
        <w:rPr>
          <w:rFonts w:ascii="Aptos" w:eastAsia="Aptos" w:hAnsi="Aptos" w:cs="Aptos"/>
          <w:color w:val="7030A0"/>
        </w:rPr>
        <w:t>etc.</w:t>
      </w:r>
      <w:r>
        <w:rPr>
          <w:rFonts w:ascii="Aptos" w:eastAsia="Aptos" w:hAnsi="Aptos" w:cs="Aptos"/>
          <w:color w:val="7030A0"/>
        </w:rPr>
        <w:t xml:space="preserve"> to minimise fraud and money laundering.</w:t>
      </w:r>
    </w:p>
    <w:p w14:paraId="000000A4" w14:textId="13688425" w:rsidR="006E4CBF" w:rsidRDefault="00F24F9B">
      <w:pPr>
        <w:rPr>
          <w:rFonts w:ascii="Aptos" w:eastAsia="Aptos" w:hAnsi="Aptos" w:cs="Aptos"/>
          <w:color w:val="7030A0"/>
        </w:rPr>
      </w:pPr>
      <w:r>
        <w:rPr>
          <w:rFonts w:ascii="Aptos" w:eastAsia="Aptos" w:hAnsi="Aptos" w:cs="Aptos"/>
          <w:color w:val="7030A0"/>
        </w:rPr>
        <w:t>The lender handbooks held by UK Finance and Building Societ</w:t>
      </w:r>
      <w:r w:rsidR="00AD25B3">
        <w:rPr>
          <w:rFonts w:ascii="Aptos" w:eastAsia="Aptos" w:hAnsi="Aptos" w:cs="Aptos"/>
          <w:color w:val="7030A0"/>
        </w:rPr>
        <w:t>ies</w:t>
      </w:r>
      <w:r>
        <w:rPr>
          <w:rFonts w:ascii="Aptos" w:eastAsia="Aptos" w:hAnsi="Aptos" w:cs="Aptos"/>
          <w:color w:val="7030A0"/>
        </w:rPr>
        <w:t xml:space="preserve"> Association should be digital and should support digital solutions and require any updates to the Lender Part 2 responses to be affected only at the beginning of each month and to only apply to mortgage instructions issued after that date. </w:t>
      </w:r>
    </w:p>
    <w:p w14:paraId="22ABB11D" w14:textId="77777777" w:rsidR="008F225A" w:rsidRPr="008F225A" w:rsidRDefault="0030773E" w:rsidP="008F225A">
      <w:pPr>
        <w:pStyle w:val="Heading2"/>
      </w:pPr>
      <w:bookmarkStart w:id="36" w:name="_Toc215492016"/>
      <w:r>
        <w:t>I</w:t>
      </w:r>
      <w:r w:rsidR="008F225A" w:rsidRPr="008F225A">
        <w:t>. Next steps for digitalisation</w:t>
      </w:r>
      <w:bookmarkEnd w:id="36"/>
    </w:p>
    <w:p w14:paraId="000000A5" w14:textId="77777777" w:rsidR="006E4CBF" w:rsidRPr="00ED672A" w:rsidRDefault="00F24F9B" w:rsidP="00ED672A">
      <w:pPr>
        <w:pStyle w:val="Heading2"/>
        <w:rPr>
          <w:rFonts w:ascii="Aptos" w:hAnsi="Aptos"/>
          <w:sz w:val="22"/>
        </w:rPr>
      </w:pPr>
      <w:bookmarkStart w:id="37" w:name="_Toc215492017"/>
      <w:r w:rsidRPr="00ED672A">
        <w:rPr>
          <w:rFonts w:ascii="Aptos" w:hAnsi="Aptos"/>
          <w:sz w:val="22"/>
        </w:rPr>
        <w:t>Question 29</w:t>
      </w:r>
      <w:bookmarkEnd w:id="37"/>
    </w:p>
    <w:p w14:paraId="000000A6" w14:textId="596A7AFC" w:rsidR="006E4CBF" w:rsidRDefault="00F24F9B">
      <w:pPr>
        <w:rPr>
          <w:rFonts w:ascii="Aptos" w:eastAsia="Aptos" w:hAnsi="Aptos" w:cs="Aptos"/>
        </w:rPr>
      </w:pPr>
      <w:r>
        <w:rPr>
          <w:rFonts w:ascii="Aptos" w:eastAsia="Aptos" w:hAnsi="Aptos" w:cs="Aptos"/>
        </w:rPr>
        <w:t>Do you agree that this is the correct direction of travel</w:t>
      </w:r>
      <w:r w:rsidR="00DD0FEB">
        <w:rPr>
          <w:rFonts w:ascii="Aptos" w:eastAsia="Aptos" w:hAnsi="Aptos" w:cs="Aptos"/>
        </w:rPr>
        <w:t xml:space="preserve">? </w:t>
      </w:r>
    </w:p>
    <w:p w14:paraId="000000A8" w14:textId="1F8F62F8" w:rsidR="006E4CBF" w:rsidRDefault="00F24F9B">
      <w:pPr>
        <w:rPr>
          <w:rFonts w:ascii="Aptos" w:eastAsia="Aptos" w:hAnsi="Aptos" w:cs="Aptos"/>
          <w:color w:val="7030A0"/>
        </w:rPr>
      </w:pPr>
      <w:r>
        <w:rPr>
          <w:rFonts w:ascii="Aptos" w:eastAsia="Aptos" w:hAnsi="Aptos" w:cs="Aptos"/>
          <w:color w:val="7030A0"/>
        </w:rPr>
        <w:t>Yes. It needs to be identified that</w:t>
      </w:r>
      <w:r w:rsidR="00743EB7">
        <w:rPr>
          <w:rFonts w:ascii="Aptos" w:eastAsia="Aptos" w:hAnsi="Aptos" w:cs="Aptos"/>
          <w:color w:val="7030A0"/>
        </w:rPr>
        <w:t>,</w:t>
      </w:r>
      <w:r>
        <w:rPr>
          <w:rFonts w:ascii="Aptos" w:eastAsia="Aptos" w:hAnsi="Aptos" w:cs="Aptos"/>
          <w:color w:val="7030A0"/>
        </w:rPr>
        <w:t xml:space="preserve"> once implemented</w:t>
      </w:r>
      <w:r w:rsidR="00743EB7">
        <w:rPr>
          <w:rFonts w:ascii="Aptos" w:eastAsia="Aptos" w:hAnsi="Aptos" w:cs="Aptos"/>
          <w:color w:val="7030A0"/>
        </w:rPr>
        <w:t>,</w:t>
      </w:r>
      <w:r>
        <w:rPr>
          <w:rFonts w:ascii="Aptos" w:eastAsia="Aptos" w:hAnsi="Aptos" w:cs="Aptos"/>
          <w:color w:val="7030A0"/>
        </w:rPr>
        <w:t xml:space="preserve"> continual improvement will be </w:t>
      </w:r>
      <w:r w:rsidR="00743EB7">
        <w:rPr>
          <w:rFonts w:ascii="Aptos" w:eastAsia="Aptos" w:hAnsi="Aptos" w:cs="Aptos"/>
          <w:color w:val="7030A0"/>
        </w:rPr>
        <w:t>required</w:t>
      </w:r>
      <w:r>
        <w:rPr>
          <w:rFonts w:ascii="Aptos" w:eastAsia="Aptos" w:hAnsi="Aptos" w:cs="Aptos"/>
          <w:color w:val="7030A0"/>
        </w:rPr>
        <w:t>. It won’t be a one</w:t>
      </w:r>
      <w:r w:rsidR="00743EB7">
        <w:rPr>
          <w:rFonts w:ascii="Aptos" w:eastAsia="Aptos" w:hAnsi="Aptos" w:cs="Aptos"/>
          <w:color w:val="7030A0"/>
        </w:rPr>
        <w:t>-</w:t>
      </w:r>
      <w:r>
        <w:rPr>
          <w:rFonts w:ascii="Aptos" w:eastAsia="Aptos" w:hAnsi="Aptos" w:cs="Aptos"/>
          <w:color w:val="7030A0"/>
        </w:rPr>
        <w:t>time fix</w:t>
      </w:r>
      <w:r w:rsidR="00743EB7">
        <w:rPr>
          <w:rFonts w:ascii="Aptos" w:eastAsia="Aptos" w:hAnsi="Aptos" w:cs="Aptos"/>
          <w:color w:val="7030A0"/>
        </w:rPr>
        <w:t>;</w:t>
      </w:r>
      <w:r>
        <w:rPr>
          <w:rFonts w:ascii="Aptos" w:eastAsia="Aptos" w:hAnsi="Aptos" w:cs="Aptos"/>
          <w:color w:val="7030A0"/>
        </w:rPr>
        <w:t xml:space="preserve"> the industry needs to be appropriately funded to be able to innovate safely and for the benefit of the consumer. </w:t>
      </w:r>
    </w:p>
    <w:p w14:paraId="2A561764" w14:textId="077F063A" w:rsidR="009321B9" w:rsidRDefault="009321B9">
      <w:pPr>
        <w:rPr>
          <w:rFonts w:ascii="Aptos" w:eastAsia="Aptos" w:hAnsi="Aptos" w:cs="Aptos"/>
          <w:color w:val="7030A0"/>
        </w:rPr>
      </w:pPr>
      <w:r w:rsidRPr="009321B9">
        <w:rPr>
          <w:rFonts w:ascii="Aptos" w:eastAsia="Aptos" w:hAnsi="Aptos" w:cs="Aptos"/>
          <w:color w:val="7030A0"/>
        </w:rPr>
        <w:t>The proposed reforms address long</w:t>
      </w:r>
      <w:r w:rsidR="00743EB7">
        <w:rPr>
          <w:rFonts w:ascii="Aptos" w:eastAsia="Aptos" w:hAnsi="Aptos" w:cs="Aptos"/>
          <w:color w:val="7030A0"/>
        </w:rPr>
        <w:t>-</w:t>
      </w:r>
      <w:r w:rsidRPr="009321B9">
        <w:rPr>
          <w:rFonts w:ascii="Aptos" w:eastAsia="Aptos" w:hAnsi="Aptos" w:cs="Aptos"/>
          <w:color w:val="7030A0"/>
        </w:rPr>
        <w:t>recognised structural weaknesses in the home buying and selling process</w:t>
      </w:r>
      <w:r>
        <w:rPr>
          <w:rFonts w:ascii="Aptos" w:eastAsia="Aptos" w:hAnsi="Aptos" w:cs="Aptos"/>
          <w:color w:val="7030A0"/>
        </w:rPr>
        <w:t xml:space="preserve">, </w:t>
      </w:r>
      <w:r w:rsidRPr="009321B9">
        <w:rPr>
          <w:rFonts w:ascii="Aptos" w:eastAsia="Aptos" w:hAnsi="Aptos" w:cs="Aptos"/>
          <w:color w:val="7030A0"/>
        </w:rPr>
        <w:t>namely inconsistent information, duplicated checks, avoidable delays, and unclear accountability between parties. Moving toward a system with verified upfront information, digital interoperability, professional standards, and earlier transactional certainty represents a logical and evidence</w:t>
      </w:r>
      <w:r>
        <w:rPr>
          <w:rFonts w:ascii="Aptos" w:eastAsia="Aptos" w:hAnsi="Aptos" w:cs="Aptos"/>
          <w:color w:val="7030A0"/>
        </w:rPr>
        <w:t xml:space="preserve"> </w:t>
      </w:r>
      <w:r w:rsidRPr="009321B9">
        <w:rPr>
          <w:rFonts w:ascii="Aptos" w:eastAsia="Aptos" w:hAnsi="Aptos" w:cs="Aptos"/>
          <w:color w:val="7030A0"/>
        </w:rPr>
        <w:t xml:space="preserve">based progression. These measures have the potential to reduce fall-through rates, improve consumer confidence, and align </w:t>
      </w:r>
      <w:r>
        <w:rPr>
          <w:rFonts w:ascii="Aptos" w:eastAsia="Aptos" w:hAnsi="Aptos" w:cs="Aptos"/>
          <w:color w:val="7030A0"/>
        </w:rPr>
        <w:t>Engl</w:t>
      </w:r>
      <w:r w:rsidR="00743EB7">
        <w:rPr>
          <w:rFonts w:ascii="Aptos" w:eastAsia="Aptos" w:hAnsi="Aptos" w:cs="Aptos"/>
          <w:color w:val="7030A0"/>
        </w:rPr>
        <w:t>ish</w:t>
      </w:r>
      <w:r>
        <w:rPr>
          <w:rFonts w:ascii="Aptos" w:eastAsia="Aptos" w:hAnsi="Aptos" w:cs="Aptos"/>
          <w:color w:val="7030A0"/>
        </w:rPr>
        <w:t xml:space="preserve"> &amp; Welsh markets</w:t>
      </w:r>
      <w:r w:rsidRPr="009321B9">
        <w:rPr>
          <w:rFonts w:ascii="Aptos" w:eastAsia="Aptos" w:hAnsi="Aptos" w:cs="Aptos"/>
          <w:color w:val="7030A0"/>
        </w:rPr>
        <w:t xml:space="preserve"> with modern property markets internationally. The agenda is ambitious but it tackles the right problems and offers a coherent pathway toward a more transparent, efficient, and resilient conveyancing ecosystem.</w:t>
      </w:r>
    </w:p>
    <w:p w14:paraId="000000A9" w14:textId="77777777" w:rsidR="006E4CBF" w:rsidRPr="00ED672A" w:rsidRDefault="00F24F9B" w:rsidP="00ED672A">
      <w:pPr>
        <w:pStyle w:val="Heading2"/>
        <w:rPr>
          <w:rFonts w:ascii="Aptos" w:hAnsi="Aptos"/>
          <w:sz w:val="22"/>
        </w:rPr>
      </w:pPr>
      <w:bookmarkStart w:id="38" w:name="_Toc215492018"/>
      <w:r w:rsidRPr="00ED672A">
        <w:rPr>
          <w:rFonts w:ascii="Aptos" w:hAnsi="Aptos"/>
          <w:sz w:val="22"/>
        </w:rPr>
        <w:t>Question 30</w:t>
      </w:r>
      <w:bookmarkEnd w:id="38"/>
    </w:p>
    <w:p w14:paraId="000000AA" w14:textId="77777777" w:rsidR="006E4CBF" w:rsidRDefault="00F24F9B">
      <w:pPr>
        <w:rPr>
          <w:rFonts w:ascii="Aptos" w:eastAsia="Aptos" w:hAnsi="Aptos" w:cs="Aptos"/>
        </w:rPr>
      </w:pPr>
      <w:r>
        <w:rPr>
          <w:rFonts w:ascii="Aptos" w:eastAsia="Aptos" w:hAnsi="Aptos" w:cs="Aptos"/>
        </w:rPr>
        <w:t xml:space="preserve">Is there anything else that government should be doing to promote digitalisation of the property sector? </w:t>
      </w:r>
    </w:p>
    <w:p w14:paraId="000000AB" w14:textId="1CEE2504" w:rsidR="006E4CBF" w:rsidRDefault="00F24F9B">
      <w:pPr>
        <w:rPr>
          <w:rFonts w:ascii="Aptos" w:eastAsia="Aptos" w:hAnsi="Aptos" w:cs="Aptos"/>
          <w:color w:val="7030A0"/>
        </w:rPr>
      </w:pPr>
      <w:r>
        <w:rPr>
          <w:rFonts w:ascii="Aptos" w:eastAsia="Aptos" w:hAnsi="Aptos" w:cs="Aptos"/>
          <w:color w:val="7030A0"/>
        </w:rPr>
        <w:t>Government should accelerate rollout of Qualified Electronic Signatures. We are told to become a supplier there’s only one conformity assessment body accredited by UKAS for undertaking conformity assessments against UK eIDAS. (BSI Assessment)</w:t>
      </w:r>
      <w:r w:rsidR="00D25B20">
        <w:rPr>
          <w:rFonts w:ascii="Aptos" w:eastAsia="Aptos" w:hAnsi="Aptos" w:cs="Aptos"/>
          <w:color w:val="7030A0"/>
        </w:rPr>
        <w:t xml:space="preserve"> </w:t>
      </w:r>
      <w:r>
        <w:rPr>
          <w:rFonts w:ascii="Aptos" w:eastAsia="Aptos" w:hAnsi="Aptos" w:cs="Aptos"/>
          <w:color w:val="7030A0"/>
        </w:rPr>
        <w:t>and they charge £100,000-£150,000 to do the conformity audit. This creates a huge barrier to deliver QES.</w:t>
      </w:r>
    </w:p>
    <w:p w14:paraId="000000AC" w14:textId="5A0F5A99" w:rsidR="006E4CBF" w:rsidRDefault="00F24F9B">
      <w:pPr>
        <w:rPr>
          <w:rFonts w:ascii="Aptos" w:eastAsia="Aptos" w:hAnsi="Aptos" w:cs="Aptos"/>
          <w:color w:val="7030A0"/>
        </w:rPr>
      </w:pPr>
      <w:r>
        <w:rPr>
          <w:rFonts w:ascii="Aptos" w:eastAsia="Aptos" w:hAnsi="Aptos" w:cs="Aptos"/>
          <w:color w:val="7030A0"/>
        </w:rPr>
        <w:t>Government should deliver open access to authoritative property datasets under the Data (Use and Access) Act 2025. Creating an ’Open Property‘ APP to enable home owners and occupiers to interact with the property</w:t>
      </w:r>
      <w:r w:rsidR="001E2B64">
        <w:rPr>
          <w:rFonts w:ascii="Aptos" w:eastAsia="Aptos" w:hAnsi="Aptos" w:cs="Aptos"/>
          <w:color w:val="7030A0"/>
        </w:rPr>
        <w:t>,</w:t>
      </w:r>
      <w:r>
        <w:rPr>
          <w:rFonts w:ascii="Aptos" w:eastAsia="Aptos" w:hAnsi="Aptos" w:cs="Aptos"/>
          <w:color w:val="7030A0"/>
        </w:rPr>
        <w:t xml:space="preserve"> and approve other</w:t>
      </w:r>
      <w:r w:rsidR="00D25B20">
        <w:rPr>
          <w:rFonts w:ascii="Aptos" w:eastAsia="Aptos" w:hAnsi="Aptos" w:cs="Aptos"/>
          <w:color w:val="7030A0"/>
        </w:rPr>
        <w:t xml:space="preserve"> stakeholders</w:t>
      </w:r>
      <w:r>
        <w:rPr>
          <w:rFonts w:ascii="Aptos" w:eastAsia="Aptos" w:hAnsi="Aptos" w:cs="Aptos"/>
          <w:color w:val="7030A0"/>
        </w:rPr>
        <w:t xml:space="preserve"> to view data relevant to the transaction which they are undertaking with that party whether that is letting, selling, retrofitting or refinancing.</w:t>
      </w:r>
    </w:p>
    <w:p w14:paraId="000000AD" w14:textId="1A1382CA" w:rsidR="006E4CBF" w:rsidRDefault="00F24F9B">
      <w:pPr>
        <w:rPr>
          <w:rFonts w:ascii="Aptos" w:eastAsia="Aptos" w:hAnsi="Aptos" w:cs="Aptos"/>
          <w:color w:val="7030A0"/>
        </w:rPr>
      </w:pPr>
      <w:r>
        <w:rPr>
          <w:rFonts w:ascii="Aptos" w:eastAsia="Aptos" w:hAnsi="Aptos" w:cs="Aptos"/>
          <w:color w:val="7030A0"/>
        </w:rPr>
        <w:t xml:space="preserve">Government should create a National Housing and Home Moving Commission </w:t>
      </w:r>
      <w:r w:rsidR="00376AB0">
        <w:rPr>
          <w:rFonts w:ascii="Aptos" w:eastAsia="Aptos" w:hAnsi="Aptos" w:cs="Aptos"/>
          <w:color w:val="7030A0"/>
        </w:rPr>
        <w:t xml:space="preserve">(see appendix) </w:t>
      </w:r>
      <w:r>
        <w:rPr>
          <w:rFonts w:ascii="Aptos" w:eastAsia="Aptos" w:hAnsi="Aptos" w:cs="Aptos"/>
          <w:color w:val="7030A0"/>
        </w:rPr>
        <w:t>to take the politics out of property and reassure the industry the changes will be permanent and not undone by the next Secretary of State.</w:t>
      </w:r>
    </w:p>
    <w:p w14:paraId="0C6999F6" w14:textId="3BF89416" w:rsidR="009321B9" w:rsidRPr="00376AB0" w:rsidRDefault="009321B9">
      <w:pPr>
        <w:rPr>
          <w:rFonts w:ascii="Aptos" w:eastAsia="Aptos" w:hAnsi="Aptos" w:cs="Aptos"/>
          <w:color w:val="7030A0"/>
        </w:rPr>
      </w:pPr>
      <w:r w:rsidRPr="00376AB0">
        <w:rPr>
          <w:rFonts w:ascii="Aptos" w:eastAsia="Aptos" w:hAnsi="Aptos" w:cs="Aptos"/>
          <w:color w:val="7030A0"/>
        </w:rPr>
        <w:t>Digitalisation will only succeed if the entire system (including the public and private sectors) moves in a coordinated way. Government action must therefore focus not merely on encouraging new technology, but on mandating data standards, modernising public systems, and removing structural barriers that currently prevent digital conveyancing from achieving its transformative potential</w:t>
      </w:r>
      <w:r w:rsidR="00240A0D">
        <w:rPr>
          <w:rFonts w:ascii="Aptos" w:eastAsia="Aptos" w:hAnsi="Aptos" w:cs="Aptos"/>
          <w:color w:val="7030A0"/>
        </w:rPr>
        <w:t xml:space="preserve"> across the whole of the transactional process. Any non-digital steps undermine the </w:t>
      </w:r>
      <w:r w:rsidR="001E2B64">
        <w:rPr>
          <w:rFonts w:ascii="Aptos" w:eastAsia="Aptos" w:hAnsi="Aptos" w:cs="Aptos"/>
          <w:color w:val="7030A0"/>
        </w:rPr>
        <w:t>end-to-end</w:t>
      </w:r>
      <w:r w:rsidR="00240A0D">
        <w:rPr>
          <w:rFonts w:ascii="Aptos" w:eastAsia="Aptos" w:hAnsi="Aptos" w:cs="Aptos"/>
          <w:color w:val="7030A0"/>
        </w:rPr>
        <w:t xml:space="preserve"> value of digitalisation</w:t>
      </w:r>
      <w:r w:rsidRPr="00376AB0">
        <w:rPr>
          <w:rFonts w:ascii="Aptos" w:eastAsia="Aptos" w:hAnsi="Aptos" w:cs="Aptos"/>
          <w:color w:val="7030A0"/>
        </w:rPr>
        <w:t>.</w:t>
      </w:r>
    </w:p>
    <w:p w14:paraId="1A3128CD" w14:textId="080A9003" w:rsidR="009321B9" w:rsidRPr="00376AB0" w:rsidRDefault="009321B9" w:rsidP="009321B9">
      <w:pPr>
        <w:rPr>
          <w:rFonts w:ascii="Aptos" w:eastAsia="Aptos" w:hAnsi="Aptos" w:cs="Aptos"/>
          <w:color w:val="7030A0"/>
        </w:rPr>
      </w:pPr>
      <w:r w:rsidRPr="00376AB0">
        <w:rPr>
          <w:rFonts w:ascii="Aptos" w:eastAsia="Aptos" w:hAnsi="Aptos" w:cs="Aptos"/>
          <w:color w:val="7030A0"/>
        </w:rPr>
        <w:t>In particular, Government could:</w:t>
      </w:r>
    </w:p>
    <w:p w14:paraId="1ECB8505"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1. Mandate Digital Standards for Property Data</w:t>
      </w:r>
    </w:p>
    <w:p w14:paraId="00BADF92"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Create a single national data schema for property information so that agents, conveyancers, surveyors, mortgage lenders, and local authorities can exchange verified information seamlessly. Without common standards, digital solutions will remain fragmented.</w:t>
      </w:r>
    </w:p>
    <w:p w14:paraId="02779AF8"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2. Require Digital-First Workflows for Key Stages</w:t>
      </w:r>
    </w:p>
    <w:p w14:paraId="4180BE60" w14:textId="40BBD989" w:rsidR="009321B9" w:rsidRPr="00376AB0" w:rsidRDefault="009321B9" w:rsidP="009321B9">
      <w:pPr>
        <w:rPr>
          <w:rFonts w:ascii="Aptos" w:eastAsia="Aptos" w:hAnsi="Aptos" w:cs="Aptos"/>
          <w:color w:val="7030A0"/>
        </w:rPr>
      </w:pPr>
      <w:r w:rsidRPr="00376AB0">
        <w:rPr>
          <w:rFonts w:ascii="Aptos" w:eastAsia="Aptos" w:hAnsi="Aptos" w:cs="Aptos"/>
          <w:color w:val="7030A0"/>
        </w:rPr>
        <w:t>Progressively mandate electronic signatures, digital mortgage offers, digital deeds, and electronic transfer of funds as default processes</w:t>
      </w:r>
      <w:r w:rsidR="00A13B83" w:rsidRPr="00376AB0">
        <w:rPr>
          <w:rFonts w:ascii="Aptos" w:eastAsia="Aptos" w:hAnsi="Aptos" w:cs="Aptos"/>
          <w:color w:val="7030A0"/>
        </w:rPr>
        <w:t xml:space="preserve"> (</w:t>
      </w:r>
      <w:r w:rsidRPr="00376AB0">
        <w:rPr>
          <w:rFonts w:ascii="Aptos" w:eastAsia="Aptos" w:hAnsi="Aptos" w:cs="Aptos"/>
          <w:color w:val="7030A0"/>
        </w:rPr>
        <w:t>not optional enhancements</w:t>
      </w:r>
      <w:r w:rsidR="00A13B83" w:rsidRPr="00376AB0">
        <w:rPr>
          <w:rFonts w:ascii="Aptos" w:eastAsia="Aptos" w:hAnsi="Aptos" w:cs="Aptos"/>
          <w:color w:val="7030A0"/>
        </w:rPr>
        <w:t xml:space="preserve">) </w:t>
      </w:r>
      <w:r w:rsidRPr="00376AB0">
        <w:rPr>
          <w:rFonts w:ascii="Aptos" w:eastAsia="Aptos" w:hAnsi="Aptos" w:cs="Aptos"/>
          <w:color w:val="7030A0"/>
        </w:rPr>
        <w:t>thereby eliminating paper bottlenecks.</w:t>
      </w:r>
    </w:p>
    <w:p w14:paraId="39047991"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3. Invest in Local Authority Digital Infrastructure</w:t>
      </w:r>
    </w:p>
    <w:p w14:paraId="7BB87B47"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Support councils to upgrade legacy systems, digitise records, and provide API-based access to searches, planning data, and property history. The private sector cannot digitalise effectively if key public datasets remain analogue.</w:t>
      </w:r>
    </w:p>
    <w:p w14:paraId="0FEADAAA"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4. Create a Digital Identity Trust Framework for Property Transactions</w:t>
      </w:r>
    </w:p>
    <w:p w14:paraId="3FD36108"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Make a single, government-backed digital identity and AML check legally recognisable and transferable between all professionals involved in the transaction. This would remove duplication and significantly reduce onboarding delays.</w:t>
      </w:r>
    </w:p>
    <w:p w14:paraId="10778C5D"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5. Support Digital Logbooks and Single Sources of Truth</w:t>
      </w:r>
    </w:p>
    <w:p w14:paraId="55507CA3"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Encourage the development and adoption of property logbooks that persist between transactions, reducing repeated data collection every time a property is sold.</w:t>
      </w:r>
    </w:p>
    <w:p w14:paraId="6E59754E"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6. Incentivise Innovation and Adoption</w:t>
      </w:r>
    </w:p>
    <w:p w14:paraId="78F618CF"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Offer grants, tax relief, or pilot programmes to help SMEs adopt digital conveyancing tools and AI solutions, preventing the market from being dominated solely by large providers.</w:t>
      </w:r>
    </w:p>
    <w:p w14:paraId="12E8B441" w14:textId="77777777" w:rsidR="009321B9" w:rsidRPr="00376AB0" w:rsidRDefault="009321B9" w:rsidP="009321B9">
      <w:pPr>
        <w:rPr>
          <w:rFonts w:ascii="Aptos" w:eastAsia="Aptos" w:hAnsi="Aptos" w:cs="Aptos"/>
          <w:color w:val="7030A0"/>
        </w:rPr>
      </w:pPr>
      <w:r w:rsidRPr="00376AB0">
        <w:rPr>
          <w:rFonts w:ascii="Aptos" w:eastAsia="Aptos" w:hAnsi="Aptos" w:cs="Aptos"/>
          <w:color w:val="7030A0"/>
        </w:rPr>
        <w:t>7. Public Awareness and Consumer Education</w:t>
      </w:r>
    </w:p>
    <w:p w14:paraId="30FD7772" w14:textId="0457EA26" w:rsidR="009321B9" w:rsidRPr="00376AB0" w:rsidRDefault="009321B9" w:rsidP="009321B9">
      <w:pPr>
        <w:rPr>
          <w:rFonts w:ascii="Aptos" w:eastAsia="Aptos" w:hAnsi="Aptos" w:cs="Aptos"/>
          <w:color w:val="7030A0"/>
        </w:rPr>
      </w:pPr>
      <w:r w:rsidRPr="00376AB0">
        <w:rPr>
          <w:rFonts w:ascii="Aptos" w:eastAsia="Aptos" w:hAnsi="Aptos" w:cs="Aptos"/>
          <w:color w:val="7030A0"/>
        </w:rPr>
        <w:t>Provide clear messaging on the safety, legality, and benefits of digital processes to build trust and ensure consumers are not deterred by unfamiliar technology.</w:t>
      </w:r>
    </w:p>
    <w:p w14:paraId="7B46B3AE" w14:textId="0D7D686B" w:rsidR="00376AB0" w:rsidRDefault="00376AB0" w:rsidP="00376AB0">
      <w:pPr>
        <w:pStyle w:val="Heading1"/>
        <w:jc w:val="center"/>
        <w:rPr>
          <w:rFonts w:ascii="Aptos" w:eastAsia="Aptos" w:hAnsi="Aptos" w:cs="Aptos"/>
          <w:color w:val="8064A2"/>
          <w:sz w:val="22"/>
          <w:szCs w:val="22"/>
        </w:rPr>
      </w:pPr>
      <w:bookmarkStart w:id="39" w:name="_heading=h.3n8f73ir6afo" w:colFirst="0" w:colLast="0"/>
      <w:bookmarkEnd w:id="39"/>
      <w:r>
        <w:rPr>
          <w:rFonts w:ascii="Aptos" w:eastAsia="Aptos" w:hAnsi="Aptos" w:cs="Aptos"/>
          <w:color w:val="8064A2"/>
          <w:sz w:val="22"/>
          <w:szCs w:val="22"/>
        </w:rPr>
        <w:t>APPENDICES</w:t>
      </w:r>
    </w:p>
    <w:p w14:paraId="000000AE" w14:textId="4F39E659" w:rsidR="006E4CBF" w:rsidRDefault="00F24F9B">
      <w:pPr>
        <w:pStyle w:val="Heading1"/>
        <w:rPr>
          <w:rFonts w:ascii="Aptos" w:eastAsia="Aptos" w:hAnsi="Aptos" w:cs="Aptos"/>
          <w:color w:val="8064A2"/>
          <w:sz w:val="22"/>
          <w:szCs w:val="22"/>
        </w:rPr>
      </w:pPr>
      <w:bookmarkStart w:id="40" w:name="_Toc215492019"/>
      <w:r>
        <w:rPr>
          <w:rFonts w:ascii="Aptos" w:eastAsia="Aptos" w:hAnsi="Aptos" w:cs="Aptos"/>
          <w:color w:val="8064A2"/>
          <w:sz w:val="22"/>
          <w:szCs w:val="22"/>
        </w:rPr>
        <w:t>National Housing</w:t>
      </w:r>
      <w:r w:rsidR="00D25B20">
        <w:rPr>
          <w:rFonts w:ascii="Aptos" w:eastAsia="Aptos" w:hAnsi="Aptos" w:cs="Aptos"/>
          <w:color w:val="8064A2"/>
          <w:sz w:val="22"/>
          <w:szCs w:val="22"/>
        </w:rPr>
        <w:t xml:space="preserve"> Supply</w:t>
      </w:r>
      <w:r>
        <w:rPr>
          <w:rFonts w:ascii="Aptos" w:eastAsia="Aptos" w:hAnsi="Aptos" w:cs="Aptos"/>
          <w:color w:val="8064A2"/>
          <w:sz w:val="22"/>
          <w:szCs w:val="22"/>
        </w:rPr>
        <w:t xml:space="preserve"> &amp; Home Moving Commission (NH</w:t>
      </w:r>
      <w:r w:rsidR="00D25B20">
        <w:rPr>
          <w:rFonts w:ascii="Aptos" w:eastAsia="Aptos" w:hAnsi="Aptos" w:cs="Aptos"/>
          <w:color w:val="8064A2"/>
          <w:sz w:val="22"/>
          <w:szCs w:val="22"/>
        </w:rPr>
        <w:t>S</w:t>
      </w:r>
      <w:r>
        <w:rPr>
          <w:rFonts w:ascii="Aptos" w:eastAsia="Aptos" w:hAnsi="Aptos" w:cs="Aptos"/>
          <w:color w:val="8064A2"/>
          <w:sz w:val="22"/>
          <w:szCs w:val="22"/>
        </w:rPr>
        <w:t>HMC)</w:t>
      </w:r>
      <w:bookmarkEnd w:id="40"/>
    </w:p>
    <w:p w14:paraId="000000AF" w14:textId="7709064C" w:rsidR="006E4CBF" w:rsidRDefault="00F24F9B">
      <w:pPr>
        <w:rPr>
          <w:rFonts w:ascii="Aptos" w:eastAsia="Aptos" w:hAnsi="Aptos" w:cs="Aptos"/>
        </w:rPr>
      </w:pPr>
      <w:r>
        <w:rPr>
          <w:rFonts w:ascii="Aptos" w:eastAsia="Aptos" w:hAnsi="Aptos" w:cs="Aptos"/>
        </w:rPr>
        <w:t xml:space="preserve">This briefing outlines the proposal for </w:t>
      </w:r>
      <w:r w:rsidR="00D25B20">
        <w:rPr>
          <w:rFonts w:ascii="Aptos" w:eastAsia="Aptos" w:hAnsi="Aptos" w:cs="Aptos"/>
        </w:rPr>
        <w:t>an apolitical</w:t>
      </w:r>
      <w:r w:rsidR="00E45591">
        <w:rPr>
          <w:rFonts w:ascii="Aptos" w:eastAsia="Aptos" w:hAnsi="Aptos" w:cs="Aptos"/>
        </w:rPr>
        <w:t>/cross party</w:t>
      </w:r>
      <w:r>
        <w:rPr>
          <w:rFonts w:ascii="Aptos" w:eastAsia="Aptos" w:hAnsi="Aptos" w:cs="Aptos"/>
        </w:rPr>
        <w:t>, government-endorsed body to provide strategic leadership for housing and home moving reforms across England and Wales. The Commission would depoliticise reforms, ensure continuity across election cycles, and align government, industry, and consumer interests.</w:t>
      </w:r>
    </w:p>
    <w:p w14:paraId="000000B0" w14:textId="77777777" w:rsidR="006E4CBF" w:rsidRDefault="00F24F9B">
      <w:pPr>
        <w:pStyle w:val="Heading2"/>
        <w:rPr>
          <w:rFonts w:ascii="Aptos" w:eastAsia="Aptos" w:hAnsi="Aptos" w:cs="Aptos"/>
          <w:color w:val="8064A2"/>
          <w:sz w:val="22"/>
          <w:szCs w:val="22"/>
        </w:rPr>
      </w:pPr>
      <w:bookmarkStart w:id="41" w:name="_Toc215492020"/>
      <w:r>
        <w:rPr>
          <w:rFonts w:ascii="Aptos" w:eastAsia="Aptos" w:hAnsi="Aptos" w:cs="Aptos"/>
          <w:color w:val="8064A2"/>
          <w:sz w:val="22"/>
          <w:szCs w:val="22"/>
        </w:rPr>
        <w:t>Purpose &amp; Remit</w:t>
      </w:r>
      <w:bookmarkEnd w:id="41"/>
    </w:p>
    <w:p w14:paraId="000000B1" w14:textId="77777777" w:rsidR="006E4CBF" w:rsidRDefault="00F24F9B">
      <w:pPr>
        <w:rPr>
          <w:rFonts w:ascii="Aptos" w:eastAsia="Aptos" w:hAnsi="Aptos" w:cs="Aptos"/>
        </w:rPr>
      </w:pPr>
      <w:r>
        <w:rPr>
          <w:rFonts w:ascii="Aptos" w:eastAsia="Aptos" w:hAnsi="Aptos" w:cs="Aptos"/>
        </w:rPr>
        <w:t>• Strategic leadership for housing and home moving reforms.</w:t>
      </w:r>
      <w:r>
        <w:rPr>
          <w:rFonts w:ascii="Aptos" w:eastAsia="Aptos" w:hAnsi="Aptos" w:cs="Aptos"/>
        </w:rPr>
        <w:br/>
        <w:t>• Remove short-term political cycles from critical housing policy.</w:t>
      </w:r>
      <w:r>
        <w:rPr>
          <w:rFonts w:ascii="Aptos" w:eastAsia="Aptos" w:hAnsi="Aptos" w:cs="Aptos"/>
        </w:rPr>
        <w:br/>
        <w:t>• Commission research, pilot digital reforms, and recommend legislative changes.</w:t>
      </w:r>
      <w:r>
        <w:rPr>
          <w:rFonts w:ascii="Aptos" w:eastAsia="Aptos" w:hAnsi="Aptos" w:cs="Aptos"/>
        </w:rPr>
        <w:br/>
        <w:t>• Ensure reforms balance speed, transparency, affordability, and professional standards.</w:t>
      </w:r>
    </w:p>
    <w:p w14:paraId="000000B2" w14:textId="77777777" w:rsidR="006E4CBF" w:rsidRDefault="00F24F9B">
      <w:pPr>
        <w:pStyle w:val="Heading2"/>
        <w:rPr>
          <w:rFonts w:ascii="Aptos" w:eastAsia="Aptos" w:hAnsi="Aptos" w:cs="Aptos"/>
          <w:color w:val="8064A2"/>
          <w:sz w:val="22"/>
          <w:szCs w:val="22"/>
        </w:rPr>
      </w:pPr>
      <w:bookmarkStart w:id="42" w:name="_Toc215492021"/>
      <w:r>
        <w:rPr>
          <w:rFonts w:ascii="Aptos" w:eastAsia="Aptos" w:hAnsi="Aptos" w:cs="Aptos"/>
          <w:color w:val="8064A2"/>
          <w:sz w:val="22"/>
          <w:szCs w:val="22"/>
        </w:rPr>
        <w:t>Key Functions</w:t>
      </w:r>
      <w:bookmarkEnd w:id="42"/>
    </w:p>
    <w:p w14:paraId="1FF957E4" w14:textId="77777777" w:rsidR="00D25B20" w:rsidRDefault="00F24F9B" w:rsidP="00D25B20">
      <w:pPr>
        <w:pStyle w:val="ListParagraph"/>
        <w:numPr>
          <w:ilvl w:val="0"/>
          <w:numId w:val="9"/>
        </w:numPr>
        <w:pBdr>
          <w:top w:val="nil"/>
          <w:left w:val="nil"/>
          <w:bottom w:val="nil"/>
          <w:right w:val="nil"/>
          <w:between w:val="nil"/>
        </w:pBdr>
        <w:ind w:left="360"/>
        <w:rPr>
          <w:rFonts w:ascii="Aptos" w:eastAsia="Aptos" w:hAnsi="Aptos" w:cs="Aptos"/>
          <w:color w:val="000000"/>
        </w:rPr>
      </w:pPr>
      <w:r w:rsidRPr="00D25B20">
        <w:rPr>
          <w:rFonts w:ascii="Aptos" w:eastAsia="Aptos" w:hAnsi="Aptos" w:cs="Aptos"/>
          <w:color w:val="000000"/>
        </w:rPr>
        <w:t>Oversee Digital Reform: Digital Property Logbooks, Digital ID, Open Property Data APIs.</w:t>
      </w:r>
    </w:p>
    <w:p w14:paraId="5550077D" w14:textId="77777777" w:rsidR="00D25B20" w:rsidRDefault="00F24F9B" w:rsidP="00D25B20">
      <w:pPr>
        <w:pStyle w:val="ListParagraph"/>
        <w:numPr>
          <w:ilvl w:val="0"/>
          <w:numId w:val="9"/>
        </w:numPr>
        <w:pBdr>
          <w:top w:val="nil"/>
          <w:left w:val="nil"/>
          <w:bottom w:val="nil"/>
          <w:right w:val="nil"/>
          <w:between w:val="nil"/>
        </w:pBdr>
        <w:ind w:left="360"/>
        <w:rPr>
          <w:rFonts w:ascii="Aptos" w:eastAsia="Aptos" w:hAnsi="Aptos" w:cs="Aptos"/>
          <w:color w:val="000000"/>
        </w:rPr>
      </w:pPr>
      <w:r w:rsidRPr="00D25B20">
        <w:rPr>
          <w:rFonts w:ascii="Aptos" w:eastAsia="Aptos" w:hAnsi="Aptos" w:cs="Aptos"/>
          <w:color w:val="000000"/>
        </w:rPr>
        <w:t>Modernise Home Moving: Upfront Information, Binding offers, Greater certainty, Less risk.</w:t>
      </w:r>
    </w:p>
    <w:p w14:paraId="682C6A51" w14:textId="77777777" w:rsidR="00D25B20" w:rsidRDefault="00F24F9B" w:rsidP="00D25B20">
      <w:pPr>
        <w:pStyle w:val="ListParagraph"/>
        <w:numPr>
          <w:ilvl w:val="0"/>
          <w:numId w:val="9"/>
        </w:numPr>
        <w:pBdr>
          <w:top w:val="nil"/>
          <w:left w:val="nil"/>
          <w:bottom w:val="nil"/>
          <w:right w:val="nil"/>
          <w:between w:val="nil"/>
        </w:pBdr>
        <w:ind w:left="360"/>
        <w:rPr>
          <w:rFonts w:ascii="Aptos" w:eastAsia="Aptos" w:hAnsi="Aptos" w:cs="Aptos"/>
          <w:color w:val="000000"/>
        </w:rPr>
      </w:pPr>
      <w:r w:rsidRPr="00D25B20">
        <w:rPr>
          <w:rFonts w:ascii="Aptos" w:eastAsia="Aptos" w:hAnsi="Aptos" w:cs="Aptos"/>
          <w:color w:val="000000"/>
        </w:rPr>
        <w:t>Regulatory Alignment: Work with Law Society, SRA, SLC, CLC, CA, CILEX, Propertymark, RICS, UKF, Building Societies Association, TPI, AMI, HBSC.</w:t>
      </w:r>
    </w:p>
    <w:p w14:paraId="26EFA756" w14:textId="77777777" w:rsidR="00D25B20" w:rsidRDefault="00F24F9B" w:rsidP="00D25B20">
      <w:pPr>
        <w:pStyle w:val="ListParagraph"/>
        <w:numPr>
          <w:ilvl w:val="0"/>
          <w:numId w:val="9"/>
        </w:numPr>
        <w:pBdr>
          <w:top w:val="nil"/>
          <w:left w:val="nil"/>
          <w:bottom w:val="nil"/>
          <w:right w:val="nil"/>
          <w:between w:val="nil"/>
        </w:pBdr>
        <w:ind w:left="360"/>
        <w:rPr>
          <w:rFonts w:ascii="Aptos" w:eastAsia="Aptos" w:hAnsi="Aptos" w:cs="Aptos"/>
          <w:color w:val="000000"/>
        </w:rPr>
      </w:pPr>
      <w:r w:rsidRPr="00D25B20">
        <w:rPr>
          <w:rFonts w:ascii="Aptos" w:eastAsia="Aptos" w:hAnsi="Aptos" w:cs="Aptos"/>
          <w:color w:val="000000"/>
        </w:rPr>
        <w:t>Industry &amp; Consumer Engagement: Annual Housing &amp; Home Moving Summit.</w:t>
      </w:r>
    </w:p>
    <w:p w14:paraId="0282DA0A" w14:textId="0756C5D1" w:rsidR="00D25B20" w:rsidRPr="00D25B20" w:rsidRDefault="00D25B20" w:rsidP="00D25B20">
      <w:pPr>
        <w:pStyle w:val="ListParagraph"/>
        <w:numPr>
          <w:ilvl w:val="0"/>
          <w:numId w:val="9"/>
        </w:numPr>
        <w:pBdr>
          <w:top w:val="nil"/>
          <w:left w:val="nil"/>
          <w:bottom w:val="nil"/>
          <w:right w:val="nil"/>
          <w:between w:val="nil"/>
        </w:pBdr>
        <w:ind w:left="360"/>
        <w:rPr>
          <w:rFonts w:ascii="Aptos" w:eastAsia="Aptos" w:hAnsi="Aptos" w:cs="Aptos"/>
          <w:color w:val="000000"/>
        </w:rPr>
      </w:pPr>
      <w:r w:rsidRPr="00D25B20">
        <w:rPr>
          <w:rFonts w:ascii="Aptos" w:hAnsi="Aptos"/>
        </w:rPr>
        <w:t xml:space="preserve">Create a strategic plan to provide sufficient affordable housing in England and Wales. </w:t>
      </w:r>
    </w:p>
    <w:p w14:paraId="0C634E63" w14:textId="77777777" w:rsidR="00D25B20" w:rsidRPr="00D25B20" w:rsidRDefault="00D25B20" w:rsidP="00D25B20">
      <w:pPr>
        <w:pStyle w:val="ListParagraph"/>
        <w:pBdr>
          <w:top w:val="nil"/>
          <w:left w:val="nil"/>
          <w:bottom w:val="nil"/>
          <w:right w:val="nil"/>
          <w:between w:val="nil"/>
        </w:pBdr>
        <w:rPr>
          <w:rFonts w:ascii="Aptos" w:eastAsia="Aptos" w:hAnsi="Aptos" w:cs="Aptos"/>
          <w:color w:val="000000"/>
        </w:rPr>
      </w:pPr>
    </w:p>
    <w:p w14:paraId="000000B4" w14:textId="77777777" w:rsidR="006E4CBF" w:rsidRDefault="00F24F9B">
      <w:pPr>
        <w:pStyle w:val="Heading2"/>
        <w:rPr>
          <w:rFonts w:ascii="Aptos" w:eastAsia="Aptos" w:hAnsi="Aptos" w:cs="Aptos"/>
          <w:color w:val="8064A2"/>
          <w:sz w:val="22"/>
          <w:szCs w:val="22"/>
        </w:rPr>
      </w:pPr>
      <w:bookmarkStart w:id="43" w:name="_Toc215492022"/>
      <w:r>
        <w:rPr>
          <w:rFonts w:ascii="Aptos" w:eastAsia="Aptos" w:hAnsi="Aptos" w:cs="Aptos"/>
          <w:color w:val="8064A2"/>
          <w:sz w:val="22"/>
          <w:szCs w:val="22"/>
        </w:rPr>
        <w:t>Proposed Structure</w:t>
      </w:r>
      <w:bookmarkEnd w:id="43"/>
    </w:p>
    <w:p w14:paraId="000000B5" w14:textId="77777777" w:rsidR="006E4CBF" w:rsidRDefault="00F24F9B">
      <w:pPr>
        <w:rPr>
          <w:rFonts w:ascii="Aptos" w:eastAsia="Aptos" w:hAnsi="Aptos" w:cs="Aptos"/>
        </w:rPr>
      </w:pPr>
      <w:r>
        <w:rPr>
          <w:rFonts w:ascii="Aptos" w:eastAsia="Aptos" w:hAnsi="Aptos" w:cs="Aptos"/>
        </w:rPr>
        <w:t>• Chair: Independent respected figure.</w:t>
      </w:r>
      <w:r>
        <w:rPr>
          <w:rFonts w:ascii="Aptos" w:eastAsia="Aptos" w:hAnsi="Aptos" w:cs="Aptos"/>
        </w:rPr>
        <w:br/>
        <w:t>• Cross-Party MPs &amp; Lords: Stable membership across elections.</w:t>
      </w:r>
      <w:r>
        <w:rPr>
          <w:rFonts w:ascii="Aptos" w:eastAsia="Aptos" w:hAnsi="Aptos" w:cs="Aptos"/>
        </w:rPr>
        <w:br/>
        <w:t>• Industry Experts: Conveyancers, estate agents, lenders, PropTech innovators, planners, mortgage advisers.</w:t>
      </w:r>
      <w:r>
        <w:rPr>
          <w:rFonts w:ascii="Aptos" w:eastAsia="Aptos" w:hAnsi="Aptos" w:cs="Aptos"/>
        </w:rPr>
        <w:br/>
        <w:t>• Consumer Representatives: Housing charities, consumer bodies.</w:t>
      </w:r>
      <w:r>
        <w:rPr>
          <w:rFonts w:ascii="Aptos" w:eastAsia="Aptos" w:hAnsi="Aptos" w:cs="Aptos"/>
        </w:rPr>
        <w:br/>
        <w:t>• Regulators: CLC, SRA, CILEX, FCA, PRS, TPOS, ICO, CMA .</w:t>
      </w:r>
      <w:r>
        <w:rPr>
          <w:rFonts w:ascii="Aptos" w:eastAsia="Aptos" w:hAnsi="Aptos" w:cs="Aptos"/>
        </w:rPr>
        <w:br/>
        <w:t>• Observers: MHCLG, Treasury, Home Office.</w:t>
      </w:r>
    </w:p>
    <w:p w14:paraId="000000B6" w14:textId="77777777" w:rsidR="006E4CBF" w:rsidRDefault="00F24F9B">
      <w:pPr>
        <w:pStyle w:val="Heading2"/>
        <w:rPr>
          <w:rFonts w:ascii="Aptos" w:eastAsia="Aptos" w:hAnsi="Aptos" w:cs="Aptos"/>
          <w:color w:val="8064A2"/>
          <w:sz w:val="22"/>
          <w:szCs w:val="22"/>
        </w:rPr>
      </w:pPr>
      <w:bookmarkStart w:id="44" w:name="_Toc215492023"/>
      <w:r>
        <w:rPr>
          <w:rFonts w:ascii="Aptos" w:eastAsia="Aptos" w:hAnsi="Aptos" w:cs="Aptos"/>
          <w:color w:val="8064A2"/>
          <w:sz w:val="22"/>
          <w:szCs w:val="22"/>
        </w:rPr>
        <w:t>Membership Terms</w:t>
      </w:r>
      <w:bookmarkEnd w:id="44"/>
    </w:p>
    <w:p w14:paraId="000000B7" w14:textId="77777777" w:rsidR="006E4CBF" w:rsidRDefault="00F24F9B">
      <w:pPr>
        <w:rPr>
          <w:rFonts w:ascii="Aptos" w:eastAsia="Aptos" w:hAnsi="Aptos" w:cs="Aptos"/>
        </w:rPr>
      </w:pPr>
      <w:r>
        <w:rPr>
          <w:rFonts w:ascii="Aptos" w:eastAsia="Aptos" w:hAnsi="Aptos" w:cs="Aptos"/>
        </w:rPr>
        <w:t>• Fixed three to five-year terms for continuity.</w:t>
      </w:r>
      <w:r>
        <w:rPr>
          <w:rFonts w:ascii="Aptos" w:eastAsia="Aptos" w:hAnsi="Aptos" w:cs="Aptos"/>
        </w:rPr>
        <w:br/>
        <w:t>• Cross-party agreement on Chair appointment.</w:t>
      </w:r>
    </w:p>
    <w:p w14:paraId="000000B8" w14:textId="77777777" w:rsidR="006E4CBF" w:rsidRDefault="00F24F9B">
      <w:pPr>
        <w:pStyle w:val="Heading2"/>
        <w:rPr>
          <w:rFonts w:ascii="Aptos" w:eastAsia="Aptos" w:hAnsi="Aptos" w:cs="Aptos"/>
          <w:color w:val="8064A2"/>
          <w:sz w:val="22"/>
          <w:szCs w:val="22"/>
        </w:rPr>
      </w:pPr>
      <w:bookmarkStart w:id="45" w:name="_Toc215492024"/>
      <w:r>
        <w:rPr>
          <w:rFonts w:ascii="Aptos" w:eastAsia="Aptos" w:hAnsi="Aptos" w:cs="Aptos"/>
          <w:color w:val="8064A2"/>
          <w:sz w:val="22"/>
          <w:szCs w:val="22"/>
        </w:rPr>
        <w:t>Accountability</w:t>
      </w:r>
      <w:bookmarkEnd w:id="45"/>
    </w:p>
    <w:p w14:paraId="000000B9" w14:textId="77777777" w:rsidR="006E4CBF" w:rsidRDefault="00F24F9B">
      <w:pPr>
        <w:rPr>
          <w:rFonts w:ascii="Aptos" w:eastAsia="Aptos" w:hAnsi="Aptos" w:cs="Aptos"/>
        </w:rPr>
      </w:pPr>
      <w:r>
        <w:rPr>
          <w:rFonts w:ascii="Aptos" w:eastAsia="Aptos" w:hAnsi="Aptos" w:cs="Aptos"/>
        </w:rPr>
        <w:t>• Statutory duty: Government must respond to Commission recommendations within six months.</w:t>
      </w:r>
      <w:r>
        <w:rPr>
          <w:rFonts w:ascii="Aptos" w:eastAsia="Aptos" w:hAnsi="Aptos" w:cs="Aptos"/>
        </w:rPr>
        <w:br/>
        <w:t>• Annual Report laid before Parliament and debated in both Houses.</w:t>
      </w:r>
    </w:p>
    <w:p w14:paraId="000000BA" w14:textId="77777777" w:rsidR="006E4CBF" w:rsidRDefault="00F24F9B">
      <w:pPr>
        <w:pStyle w:val="Heading2"/>
        <w:rPr>
          <w:rFonts w:ascii="Aptos" w:eastAsia="Aptos" w:hAnsi="Aptos" w:cs="Aptos"/>
          <w:color w:val="8064A2"/>
          <w:sz w:val="22"/>
          <w:szCs w:val="22"/>
        </w:rPr>
      </w:pPr>
      <w:bookmarkStart w:id="46" w:name="_Toc215492025"/>
      <w:r>
        <w:rPr>
          <w:rFonts w:ascii="Aptos" w:eastAsia="Aptos" w:hAnsi="Aptos" w:cs="Aptos"/>
          <w:color w:val="8064A2"/>
          <w:sz w:val="22"/>
          <w:szCs w:val="22"/>
        </w:rPr>
        <w:t>Benefits</w:t>
      </w:r>
      <w:bookmarkEnd w:id="46"/>
    </w:p>
    <w:p w14:paraId="000000BB" w14:textId="77777777" w:rsidR="006E4CBF" w:rsidRDefault="00F24F9B">
      <w:pPr>
        <w:rPr>
          <w:rFonts w:ascii="Aptos" w:eastAsia="Aptos" w:hAnsi="Aptos" w:cs="Aptos"/>
        </w:rPr>
      </w:pPr>
      <w:r>
        <w:rPr>
          <w:rFonts w:ascii="Aptos" w:eastAsia="Aptos" w:hAnsi="Aptos" w:cs="Aptos"/>
        </w:rPr>
        <w:t>• Stability across elections, no policy flip-flopping (there have been 25 Housing Ministers and 12 Secretaries of State for Housing since 2000).</w:t>
      </w:r>
      <w:r>
        <w:rPr>
          <w:rFonts w:ascii="Aptos" w:eastAsia="Aptos" w:hAnsi="Aptos" w:cs="Aptos"/>
        </w:rPr>
        <w:br/>
        <w:t>• Depoliticises complex reforms, evidence-led decisions.</w:t>
      </w:r>
      <w:r>
        <w:rPr>
          <w:rFonts w:ascii="Aptos" w:eastAsia="Aptos" w:hAnsi="Aptos" w:cs="Aptos"/>
        </w:rPr>
        <w:br/>
        <w:t>• Industry confidence and investment with the certainty of decisions made.</w:t>
      </w:r>
      <w:r>
        <w:rPr>
          <w:rFonts w:ascii="Aptos" w:eastAsia="Aptos" w:hAnsi="Aptos" w:cs="Aptos"/>
        </w:rPr>
        <w:br/>
        <w:t>• Aligns regulators, industry, and government.</w:t>
      </w:r>
    </w:p>
    <w:p w14:paraId="5DFE2A09" w14:textId="77777777" w:rsidR="00D25B20" w:rsidRDefault="00D25B20">
      <w:pPr>
        <w:rPr>
          <w:rFonts w:ascii="Aptos" w:eastAsia="Aptos" w:hAnsi="Aptos" w:cs="Aptos"/>
          <w:b/>
          <w:bCs/>
          <w:color w:val="7030A0"/>
          <w:sz w:val="24"/>
          <w:szCs w:val="24"/>
        </w:rPr>
      </w:pPr>
      <w:r>
        <w:rPr>
          <w:rFonts w:ascii="Aptos" w:eastAsia="Aptos" w:hAnsi="Aptos" w:cs="Aptos"/>
          <w:b/>
          <w:bCs/>
          <w:color w:val="7030A0"/>
          <w:sz w:val="24"/>
          <w:szCs w:val="24"/>
        </w:rPr>
        <w:br w:type="page"/>
      </w:r>
    </w:p>
    <w:p w14:paraId="000000BD" w14:textId="77777777" w:rsidR="006E4CBF" w:rsidRDefault="00F24F9B">
      <w:pPr>
        <w:spacing w:after="158"/>
        <w:ind w:left="139"/>
        <w:jc w:val="center"/>
      </w:pPr>
      <w:r>
        <w:rPr>
          <w:rFonts w:ascii="Calibri" w:eastAsia="Calibri" w:hAnsi="Calibri" w:cs="Calibri"/>
          <w:b/>
          <w:bCs/>
        </w:rPr>
        <w:t xml:space="preserve">RESERVATION AGREEMENT </w:t>
      </w:r>
    </w:p>
    <w:p w14:paraId="000000BE" w14:textId="77777777" w:rsidR="006E4CBF" w:rsidRDefault="00F24F9B">
      <w:pPr>
        <w:spacing w:after="0"/>
        <w:ind w:left="144"/>
      </w:pPr>
      <w:r>
        <w:rPr>
          <w:rFonts w:ascii="Calibri" w:eastAsia="Calibri" w:hAnsi="Calibri" w:cs="Calibri"/>
          <w:i/>
          <w:iCs/>
        </w:rPr>
        <w:t xml:space="preserve">WARNING: THIS IS A LEGAL AGREEMENT AND YOU SHOULD TAKE LEGAL ADVICE BEFORE SIGNING IT </w:t>
      </w:r>
    </w:p>
    <w:tbl>
      <w:tblPr>
        <w:tblStyle w:val="a4"/>
        <w:tblW w:w="9643" w:type="dxa"/>
        <w:tblInd w:w="-140" w:type="dxa"/>
        <w:tblLayout w:type="fixed"/>
        <w:tblLook w:val="0400" w:firstRow="0" w:lastRow="0" w:firstColumn="0" w:lastColumn="0" w:noHBand="0" w:noVBand="1"/>
      </w:tblPr>
      <w:tblGrid>
        <w:gridCol w:w="3009"/>
        <w:gridCol w:w="6634"/>
      </w:tblGrid>
      <w:tr w:rsidR="006E4CBF" w14:paraId="00E26B86" w14:textId="77777777" w:rsidTr="00ED672A">
        <w:trPr>
          <w:trHeight w:val="1084"/>
        </w:trPr>
        <w:tc>
          <w:tcPr>
            <w:tcW w:w="3009" w:type="dxa"/>
            <w:tcBorders>
              <w:top w:val="single" w:sz="4" w:space="0" w:color="7030A0"/>
              <w:left w:val="single" w:sz="4" w:space="0" w:color="7030A0"/>
              <w:bottom w:val="single" w:sz="4" w:space="0" w:color="7030A0"/>
              <w:right w:val="single" w:sz="4" w:space="0" w:color="7030A0"/>
            </w:tcBorders>
          </w:tcPr>
          <w:p w14:paraId="000000BF" w14:textId="77777777" w:rsidR="006E4CBF" w:rsidRDefault="00F24F9B">
            <w:r>
              <w:rPr>
                <w:rFonts w:ascii="Calibri" w:eastAsia="Calibri" w:hAnsi="Calibri" w:cs="Calibri"/>
                <w:b/>
                <w:bCs/>
              </w:rPr>
              <w:t xml:space="preserve">SALE PROPERTY ADDRESS: </w:t>
            </w:r>
          </w:p>
          <w:p w14:paraId="000000C0" w14:textId="77777777" w:rsidR="006E4CBF" w:rsidRDefault="00F24F9B">
            <w:r>
              <w:rPr>
                <w:rFonts w:ascii="Calibri" w:eastAsia="Calibri" w:hAnsi="Calibri" w:cs="Calibri"/>
                <w:b/>
                <w:bCs/>
              </w:rPr>
              <w:t xml:space="preserve"> </w:t>
            </w:r>
          </w:p>
          <w:p w14:paraId="000000C1" w14:textId="77777777" w:rsidR="006E4CBF" w:rsidRDefault="00F24F9B">
            <w:r>
              <w:rPr>
                <w:rFonts w:ascii="Calibri" w:eastAsia="Calibri" w:hAnsi="Calibri" w:cs="Calibri"/>
                <w:b/>
                <w:bCs/>
              </w:rPr>
              <w:t xml:space="preserve"> </w:t>
            </w:r>
          </w:p>
          <w:p w14:paraId="000000C2" w14:textId="77777777" w:rsidR="006E4CBF" w:rsidRDefault="00F24F9B">
            <w:r>
              <w:rPr>
                <w:rFonts w:ascii="Calibri" w:eastAsia="Calibri" w:hAnsi="Calibri" w:cs="Calibri"/>
                <w:b/>
                <w:bCs/>
              </w:rPr>
              <w:t xml:space="preserve">POSTCODE: </w:t>
            </w:r>
          </w:p>
        </w:tc>
        <w:tc>
          <w:tcPr>
            <w:tcW w:w="6634" w:type="dxa"/>
            <w:tcBorders>
              <w:top w:val="single" w:sz="4" w:space="0" w:color="7030A0"/>
              <w:left w:val="single" w:sz="4" w:space="0" w:color="7030A0"/>
              <w:bottom w:val="single" w:sz="4" w:space="0" w:color="7030A0"/>
              <w:right w:val="single" w:sz="4" w:space="0" w:color="7030A0"/>
            </w:tcBorders>
          </w:tcPr>
          <w:p w14:paraId="000000C3" w14:textId="77777777" w:rsidR="006E4CBF" w:rsidRDefault="00F24F9B">
            <w:r>
              <w:rPr>
                <w:rFonts w:ascii="Calibri" w:eastAsia="Calibri" w:hAnsi="Calibri" w:cs="Calibri"/>
                <w:b/>
                <w:bCs/>
              </w:rPr>
              <w:t xml:space="preserve"> </w:t>
            </w:r>
          </w:p>
          <w:p w14:paraId="000000C4" w14:textId="77777777" w:rsidR="006E4CBF" w:rsidRDefault="00F24F9B">
            <w:r>
              <w:rPr>
                <w:rFonts w:ascii="Calibri" w:eastAsia="Calibri" w:hAnsi="Calibri" w:cs="Calibri"/>
                <w:b/>
                <w:bCs/>
              </w:rPr>
              <w:t xml:space="preserve"> </w:t>
            </w:r>
          </w:p>
          <w:p w14:paraId="000000C5" w14:textId="77777777" w:rsidR="006E4CBF" w:rsidRDefault="00F24F9B">
            <w:r>
              <w:rPr>
                <w:rFonts w:ascii="Calibri" w:eastAsia="Calibri" w:hAnsi="Calibri" w:cs="Calibri"/>
                <w:b/>
                <w:bCs/>
              </w:rPr>
              <w:t xml:space="preserve"> </w:t>
            </w:r>
          </w:p>
          <w:p w14:paraId="000000C6" w14:textId="77777777" w:rsidR="006E4CBF" w:rsidRDefault="00F24F9B">
            <w:r>
              <w:rPr>
                <w:rFonts w:ascii="Calibri" w:eastAsia="Calibri" w:hAnsi="Calibri" w:cs="Calibri"/>
                <w:b/>
                <w:bCs/>
              </w:rPr>
              <w:t xml:space="preserve"> </w:t>
            </w:r>
          </w:p>
        </w:tc>
      </w:tr>
      <w:tr w:rsidR="006E4CBF" w14:paraId="0943A570" w14:textId="77777777" w:rsidTr="00ED672A">
        <w:trPr>
          <w:trHeight w:val="280"/>
        </w:trPr>
        <w:tc>
          <w:tcPr>
            <w:tcW w:w="3009" w:type="dxa"/>
            <w:tcBorders>
              <w:top w:val="single" w:sz="4" w:space="0" w:color="7030A0"/>
              <w:left w:val="single" w:sz="4" w:space="0" w:color="7030A0"/>
              <w:bottom w:val="single" w:sz="4" w:space="0" w:color="7030A0"/>
              <w:right w:val="single" w:sz="4" w:space="0" w:color="7030A0"/>
            </w:tcBorders>
          </w:tcPr>
          <w:p w14:paraId="000000C7" w14:textId="77777777" w:rsidR="006E4CBF" w:rsidRDefault="00F24F9B">
            <w:r>
              <w:rPr>
                <w:rFonts w:ascii="Calibri" w:eastAsia="Calibri" w:hAnsi="Calibri" w:cs="Calibri"/>
                <w:b/>
                <w:bCs/>
              </w:rPr>
              <w:t xml:space="preserve">SALE PRICE: </w:t>
            </w:r>
          </w:p>
        </w:tc>
        <w:tc>
          <w:tcPr>
            <w:tcW w:w="6634" w:type="dxa"/>
            <w:tcBorders>
              <w:top w:val="single" w:sz="4" w:space="0" w:color="7030A0"/>
              <w:left w:val="single" w:sz="4" w:space="0" w:color="7030A0"/>
              <w:bottom w:val="single" w:sz="4" w:space="0" w:color="7030A0"/>
              <w:right w:val="single" w:sz="4" w:space="0" w:color="7030A0"/>
            </w:tcBorders>
          </w:tcPr>
          <w:p w14:paraId="000000C8" w14:textId="77777777" w:rsidR="006E4CBF" w:rsidRDefault="00F24F9B">
            <w:r>
              <w:rPr>
                <w:rFonts w:ascii="Calibri" w:eastAsia="Calibri" w:hAnsi="Calibri" w:cs="Calibri"/>
                <w:b/>
                <w:bCs/>
              </w:rPr>
              <w:t xml:space="preserve"> </w:t>
            </w:r>
          </w:p>
        </w:tc>
      </w:tr>
      <w:tr w:rsidR="006E4CBF" w14:paraId="032E5E2F" w14:textId="77777777" w:rsidTr="00ED672A">
        <w:trPr>
          <w:trHeight w:val="276"/>
        </w:trPr>
        <w:tc>
          <w:tcPr>
            <w:tcW w:w="3009" w:type="dxa"/>
            <w:tcBorders>
              <w:top w:val="single" w:sz="4" w:space="0" w:color="7030A0"/>
              <w:left w:val="single" w:sz="4" w:space="0" w:color="7030A0"/>
              <w:bottom w:val="single" w:sz="4" w:space="0" w:color="7030A0"/>
              <w:right w:val="single" w:sz="4" w:space="0" w:color="7030A0"/>
            </w:tcBorders>
          </w:tcPr>
          <w:p w14:paraId="000000C9" w14:textId="77777777" w:rsidR="006E4CBF" w:rsidRDefault="00F24F9B">
            <w:r>
              <w:rPr>
                <w:rFonts w:ascii="Calibri" w:eastAsia="Calibri" w:hAnsi="Calibri" w:cs="Calibri"/>
                <w:b/>
                <w:bCs/>
              </w:rPr>
              <w:t xml:space="preserve">RESERVATION DATE: </w:t>
            </w:r>
          </w:p>
        </w:tc>
        <w:tc>
          <w:tcPr>
            <w:tcW w:w="6634" w:type="dxa"/>
            <w:tcBorders>
              <w:top w:val="single" w:sz="4" w:space="0" w:color="7030A0"/>
              <w:left w:val="single" w:sz="4" w:space="0" w:color="7030A0"/>
              <w:bottom w:val="single" w:sz="4" w:space="0" w:color="7030A0"/>
              <w:right w:val="single" w:sz="4" w:space="0" w:color="7030A0"/>
            </w:tcBorders>
          </w:tcPr>
          <w:p w14:paraId="000000CA" w14:textId="77777777" w:rsidR="006E4CBF" w:rsidRDefault="00F24F9B">
            <w:r>
              <w:rPr>
                <w:rFonts w:ascii="Calibri" w:eastAsia="Calibri" w:hAnsi="Calibri" w:cs="Calibri"/>
                <w:b/>
                <w:bCs/>
              </w:rPr>
              <w:t xml:space="preserve"> </w:t>
            </w:r>
          </w:p>
        </w:tc>
      </w:tr>
      <w:tr w:rsidR="006E4CBF" w14:paraId="24DFDB4C" w14:textId="77777777" w:rsidTr="00ED672A">
        <w:trPr>
          <w:trHeight w:val="280"/>
        </w:trPr>
        <w:tc>
          <w:tcPr>
            <w:tcW w:w="3009" w:type="dxa"/>
            <w:tcBorders>
              <w:top w:val="single" w:sz="4" w:space="0" w:color="7030A0"/>
              <w:left w:val="single" w:sz="4" w:space="0" w:color="7030A0"/>
              <w:bottom w:val="single" w:sz="4" w:space="0" w:color="7030A0"/>
              <w:right w:val="single" w:sz="4" w:space="0" w:color="7030A0"/>
            </w:tcBorders>
          </w:tcPr>
          <w:p w14:paraId="000000CB" w14:textId="77777777" w:rsidR="006E4CBF" w:rsidRDefault="00F24F9B">
            <w:r>
              <w:rPr>
                <w:rFonts w:ascii="Calibri" w:eastAsia="Calibri" w:hAnsi="Calibri" w:cs="Calibri"/>
                <w:b/>
                <w:bCs/>
              </w:rPr>
              <w:t xml:space="preserve">RESERVATION EXPIRY DATE: </w:t>
            </w:r>
          </w:p>
        </w:tc>
        <w:tc>
          <w:tcPr>
            <w:tcW w:w="6634" w:type="dxa"/>
            <w:tcBorders>
              <w:top w:val="single" w:sz="4" w:space="0" w:color="7030A0"/>
              <w:left w:val="single" w:sz="4" w:space="0" w:color="7030A0"/>
              <w:bottom w:val="single" w:sz="4" w:space="0" w:color="7030A0"/>
              <w:right w:val="single" w:sz="4" w:space="0" w:color="7030A0"/>
            </w:tcBorders>
          </w:tcPr>
          <w:p w14:paraId="000000CC" w14:textId="77777777" w:rsidR="006E4CBF" w:rsidRDefault="00F24F9B">
            <w:r>
              <w:rPr>
                <w:rFonts w:ascii="Calibri" w:eastAsia="Calibri" w:hAnsi="Calibri" w:cs="Calibri"/>
                <w:b/>
                <w:bCs/>
              </w:rPr>
              <w:t xml:space="preserve"> </w:t>
            </w:r>
          </w:p>
        </w:tc>
      </w:tr>
      <w:tr w:rsidR="006E4CBF" w14:paraId="3AECC6DF" w14:textId="77777777" w:rsidTr="00ED672A">
        <w:trPr>
          <w:trHeight w:val="280"/>
        </w:trPr>
        <w:tc>
          <w:tcPr>
            <w:tcW w:w="3009" w:type="dxa"/>
            <w:tcBorders>
              <w:top w:val="single" w:sz="4" w:space="0" w:color="7030A0"/>
              <w:left w:val="single" w:sz="4" w:space="0" w:color="7030A0"/>
              <w:bottom w:val="single" w:sz="4" w:space="0" w:color="7030A0"/>
              <w:right w:val="single" w:sz="4" w:space="0" w:color="7030A0"/>
            </w:tcBorders>
          </w:tcPr>
          <w:p w14:paraId="000000CD" w14:textId="77777777" w:rsidR="006E4CBF" w:rsidRDefault="00F24F9B">
            <w:r>
              <w:rPr>
                <w:rFonts w:ascii="Calibri" w:eastAsia="Calibri" w:hAnsi="Calibri" w:cs="Calibri"/>
                <w:b/>
                <w:bCs/>
              </w:rPr>
              <w:t xml:space="preserve">RESERVATION DEPOSIT: </w:t>
            </w:r>
          </w:p>
        </w:tc>
        <w:tc>
          <w:tcPr>
            <w:tcW w:w="6634" w:type="dxa"/>
            <w:tcBorders>
              <w:top w:val="single" w:sz="4" w:space="0" w:color="7030A0"/>
              <w:left w:val="single" w:sz="4" w:space="0" w:color="7030A0"/>
              <w:bottom w:val="single" w:sz="4" w:space="0" w:color="7030A0"/>
              <w:right w:val="single" w:sz="4" w:space="0" w:color="7030A0"/>
            </w:tcBorders>
          </w:tcPr>
          <w:p w14:paraId="000000CE" w14:textId="77777777" w:rsidR="006E4CBF" w:rsidRDefault="00F24F9B">
            <w:r>
              <w:rPr>
                <w:rFonts w:ascii="Calibri" w:eastAsia="Calibri" w:hAnsi="Calibri" w:cs="Calibri"/>
                <w:b/>
                <w:bCs/>
              </w:rPr>
              <w:t xml:space="preserve"> </w:t>
            </w:r>
          </w:p>
        </w:tc>
      </w:tr>
      <w:tr w:rsidR="006E4CBF" w14:paraId="28961A17" w14:textId="77777777" w:rsidTr="00ED672A">
        <w:trPr>
          <w:trHeight w:val="1085"/>
        </w:trPr>
        <w:tc>
          <w:tcPr>
            <w:tcW w:w="3009" w:type="dxa"/>
            <w:tcBorders>
              <w:top w:val="single" w:sz="4" w:space="0" w:color="7030A0"/>
              <w:left w:val="single" w:sz="4" w:space="0" w:color="7030A0"/>
              <w:bottom w:val="single" w:sz="4" w:space="0" w:color="7030A0"/>
              <w:right w:val="single" w:sz="4" w:space="0" w:color="7030A0"/>
            </w:tcBorders>
          </w:tcPr>
          <w:p w14:paraId="000000CF" w14:textId="77777777" w:rsidR="006E4CBF" w:rsidRDefault="00F24F9B">
            <w:r>
              <w:rPr>
                <w:rFonts w:ascii="Calibri" w:eastAsia="Calibri" w:hAnsi="Calibri" w:cs="Calibri"/>
                <w:b/>
                <w:bCs/>
              </w:rPr>
              <w:t xml:space="preserve">ESTATE AGENT: </w:t>
            </w:r>
          </w:p>
          <w:p w14:paraId="000000D0" w14:textId="77777777" w:rsidR="006E4CBF" w:rsidRDefault="00F24F9B">
            <w:r>
              <w:rPr>
                <w:rFonts w:ascii="Calibri" w:eastAsia="Calibri" w:hAnsi="Calibri" w:cs="Calibri"/>
                <w:b/>
                <w:bCs/>
              </w:rPr>
              <w:t xml:space="preserve">ADDRESS: </w:t>
            </w:r>
          </w:p>
          <w:p w14:paraId="000000D1" w14:textId="77777777" w:rsidR="006E4CBF" w:rsidRDefault="00F24F9B">
            <w:r>
              <w:rPr>
                <w:rFonts w:ascii="Calibri" w:eastAsia="Calibri" w:hAnsi="Calibri" w:cs="Calibri"/>
                <w:b/>
                <w:bCs/>
              </w:rPr>
              <w:t xml:space="preserve">POSTCODE: </w:t>
            </w:r>
          </w:p>
          <w:p w14:paraId="000000D2" w14:textId="77777777" w:rsidR="006E4CBF" w:rsidRDefault="00F24F9B">
            <w:r>
              <w:rPr>
                <w:rFonts w:ascii="Calibri" w:eastAsia="Calibri" w:hAnsi="Calibri" w:cs="Calibri"/>
                <w:b/>
                <w:bCs/>
              </w:rPr>
              <w:t xml:space="preserve">TELEPHONE: </w:t>
            </w:r>
          </w:p>
        </w:tc>
        <w:tc>
          <w:tcPr>
            <w:tcW w:w="6634" w:type="dxa"/>
            <w:tcBorders>
              <w:top w:val="single" w:sz="4" w:space="0" w:color="7030A0"/>
              <w:left w:val="single" w:sz="4" w:space="0" w:color="7030A0"/>
              <w:bottom w:val="single" w:sz="4" w:space="0" w:color="7030A0"/>
              <w:right w:val="single" w:sz="4" w:space="0" w:color="7030A0"/>
            </w:tcBorders>
          </w:tcPr>
          <w:p w14:paraId="000000D3" w14:textId="77777777" w:rsidR="006E4CBF" w:rsidRDefault="00F24F9B">
            <w:r>
              <w:rPr>
                <w:rFonts w:ascii="Calibri" w:eastAsia="Calibri" w:hAnsi="Calibri" w:cs="Calibri"/>
              </w:rPr>
              <w:t xml:space="preserve"> </w:t>
            </w:r>
          </w:p>
        </w:tc>
      </w:tr>
      <w:tr w:rsidR="006E4CBF" w14:paraId="2173A1A6" w14:textId="77777777" w:rsidTr="00ED672A">
        <w:trPr>
          <w:trHeight w:val="544"/>
        </w:trPr>
        <w:tc>
          <w:tcPr>
            <w:tcW w:w="3009" w:type="dxa"/>
            <w:tcBorders>
              <w:top w:val="single" w:sz="4" w:space="0" w:color="7030A0"/>
              <w:left w:val="single" w:sz="4" w:space="0" w:color="7030A0"/>
              <w:bottom w:val="single" w:sz="4" w:space="0" w:color="7030A0"/>
              <w:right w:val="single" w:sz="4" w:space="0" w:color="7030A0"/>
            </w:tcBorders>
          </w:tcPr>
          <w:p w14:paraId="000000D4" w14:textId="77777777" w:rsidR="006E4CBF" w:rsidRDefault="00F24F9B">
            <w:r>
              <w:rPr>
                <w:rFonts w:ascii="Calibri" w:eastAsia="Calibri" w:hAnsi="Calibri" w:cs="Calibri"/>
                <w:b/>
                <w:bCs/>
              </w:rPr>
              <w:t xml:space="preserve">SELLER(S) FULL NAME(S): </w:t>
            </w:r>
          </w:p>
        </w:tc>
        <w:tc>
          <w:tcPr>
            <w:tcW w:w="6634" w:type="dxa"/>
            <w:tcBorders>
              <w:top w:val="single" w:sz="4" w:space="0" w:color="7030A0"/>
              <w:left w:val="single" w:sz="4" w:space="0" w:color="7030A0"/>
              <w:bottom w:val="single" w:sz="4" w:space="0" w:color="7030A0"/>
              <w:right w:val="single" w:sz="4" w:space="0" w:color="7030A0"/>
            </w:tcBorders>
          </w:tcPr>
          <w:p w14:paraId="000000D5" w14:textId="77777777" w:rsidR="006E4CBF" w:rsidRDefault="00F24F9B">
            <w:r>
              <w:rPr>
                <w:rFonts w:ascii="Calibri" w:eastAsia="Calibri" w:hAnsi="Calibri" w:cs="Calibri"/>
                <w:b/>
                <w:bCs/>
              </w:rPr>
              <w:t xml:space="preserve"> </w:t>
            </w:r>
          </w:p>
          <w:p w14:paraId="000000D6" w14:textId="77777777" w:rsidR="006E4CBF" w:rsidRDefault="00F24F9B">
            <w:r>
              <w:rPr>
                <w:rFonts w:ascii="Calibri" w:eastAsia="Calibri" w:hAnsi="Calibri" w:cs="Calibri"/>
                <w:b/>
                <w:bCs/>
              </w:rPr>
              <w:t xml:space="preserve"> </w:t>
            </w:r>
          </w:p>
        </w:tc>
      </w:tr>
      <w:tr w:rsidR="006E4CBF" w14:paraId="6C0D271B" w14:textId="77777777" w:rsidTr="00ED672A">
        <w:trPr>
          <w:trHeight w:val="1084"/>
        </w:trPr>
        <w:tc>
          <w:tcPr>
            <w:tcW w:w="3009" w:type="dxa"/>
            <w:tcBorders>
              <w:top w:val="single" w:sz="4" w:space="0" w:color="7030A0"/>
              <w:left w:val="single" w:sz="4" w:space="0" w:color="7030A0"/>
              <w:bottom w:val="single" w:sz="4" w:space="0" w:color="7030A0"/>
              <w:right w:val="single" w:sz="4" w:space="0" w:color="7030A0"/>
            </w:tcBorders>
          </w:tcPr>
          <w:p w14:paraId="000000D7" w14:textId="77777777" w:rsidR="006E4CBF" w:rsidRDefault="00F24F9B">
            <w:r>
              <w:rPr>
                <w:rFonts w:ascii="Calibri" w:eastAsia="Calibri" w:hAnsi="Calibri" w:cs="Calibri"/>
                <w:b/>
                <w:bCs/>
              </w:rPr>
              <w:t xml:space="preserve">SELLER ADDRESS: </w:t>
            </w:r>
          </w:p>
          <w:p w14:paraId="000000D8" w14:textId="77777777" w:rsidR="006E4CBF" w:rsidRDefault="00F24F9B">
            <w:r>
              <w:rPr>
                <w:rFonts w:ascii="Calibri" w:eastAsia="Calibri" w:hAnsi="Calibri" w:cs="Calibri"/>
                <w:b/>
                <w:bCs/>
              </w:rPr>
              <w:t xml:space="preserve"> </w:t>
            </w:r>
          </w:p>
          <w:p w14:paraId="000000D9" w14:textId="77777777" w:rsidR="006E4CBF" w:rsidRDefault="00F24F9B">
            <w:r>
              <w:rPr>
                <w:rFonts w:ascii="Calibri" w:eastAsia="Calibri" w:hAnsi="Calibri" w:cs="Calibri"/>
                <w:b/>
                <w:bCs/>
              </w:rPr>
              <w:t xml:space="preserve"> </w:t>
            </w:r>
          </w:p>
          <w:p w14:paraId="000000DA" w14:textId="77777777" w:rsidR="006E4CBF" w:rsidRDefault="00F24F9B">
            <w:r>
              <w:rPr>
                <w:rFonts w:ascii="Calibri" w:eastAsia="Calibri" w:hAnsi="Calibri" w:cs="Calibri"/>
                <w:b/>
                <w:bCs/>
              </w:rPr>
              <w:t xml:space="preserve">POSTCODE: </w:t>
            </w:r>
          </w:p>
        </w:tc>
        <w:tc>
          <w:tcPr>
            <w:tcW w:w="6634" w:type="dxa"/>
            <w:tcBorders>
              <w:top w:val="single" w:sz="4" w:space="0" w:color="7030A0"/>
              <w:left w:val="single" w:sz="4" w:space="0" w:color="7030A0"/>
              <w:bottom w:val="single" w:sz="4" w:space="0" w:color="7030A0"/>
              <w:right w:val="single" w:sz="4" w:space="0" w:color="7030A0"/>
            </w:tcBorders>
          </w:tcPr>
          <w:p w14:paraId="000000DB" w14:textId="77777777" w:rsidR="006E4CBF" w:rsidRDefault="00F24F9B">
            <w:r>
              <w:rPr>
                <w:rFonts w:ascii="Calibri" w:eastAsia="Calibri" w:hAnsi="Calibri" w:cs="Calibri"/>
                <w:b/>
                <w:bCs/>
              </w:rPr>
              <w:t xml:space="preserve"> </w:t>
            </w:r>
          </w:p>
          <w:p w14:paraId="000000DC" w14:textId="77777777" w:rsidR="006E4CBF" w:rsidRDefault="00F24F9B">
            <w:r>
              <w:rPr>
                <w:rFonts w:ascii="Calibri" w:eastAsia="Calibri" w:hAnsi="Calibri" w:cs="Calibri"/>
                <w:b/>
                <w:bCs/>
              </w:rPr>
              <w:t xml:space="preserve"> </w:t>
            </w:r>
          </w:p>
          <w:p w14:paraId="000000DD" w14:textId="77777777" w:rsidR="006E4CBF" w:rsidRDefault="00F24F9B">
            <w:r>
              <w:rPr>
                <w:rFonts w:ascii="Calibri" w:eastAsia="Calibri" w:hAnsi="Calibri" w:cs="Calibri"/>
                <w:b/>
                <w:bCs/>
              </w:rPr>
              <w:t xml:space="preserve"> </w:t>
            </w:r>
          </w:p>
          <w:p w14:paraId="000000DE" w14:textId="77777777" w:rsidR="006E4CBF" w:rsidRDefault="00F24F9B">
            <w:r>
              <w:rPr>
                <w:rFonts w:ascii="Calibri" w:eastAsia="Calibri" w:hAnsi="Calibri" w:cs="Calibri"/>
                <w:b/>
                <w:bCs/>
              </w:rPr>
              <w:t xml:space="preserve"> </w:t>
            </w:r>
          </w:p>
        </w:tc>
      </w:tr>
      <w:tr w:rsidR="006E4CBF" w14:paraId="4FA233CA" w14:textId="77777777" w:rsidTr="00ED672A">
        <w:trPr>
          <w:trHeight w:val="280"/>
        </w:trPr>
        <w:tc>
          <w:tcPr>
            <w:tcW w:w="3009" w:type="dxa"/>
            <w:tcBorders>
              <w:top w:val="single" w:sz="4" w:space="0" w:color="7030A0"/>
              <w:left w:val="single" w:sz="4" w:space="0" w:color="7030A0"/>
              <w:bottom w:val="single" w:sz="4" w:space="0" w:color="7030A0"/>
              <w:right w:val="single" w:sz="4" w:space="0" w:color="7030A0"/>
            </w:tcBorders>
          </w:tcPr>
          <w:p w14:paraId="000000DF" w14:textId="77777777" w:rsidR="006E4CBF" w:rsidRDefault="00F24F9B">
            <w:r>
              <w:rPr>
                <w:rFonts w:ascii="Calibri" w:eastAsia="Calibri" w:hAnsi="Calibri" w:cs="Calibri"/>
                <w:b/>
                <w:bCs/>
              </w:rPr>
              <w:t xml:space="preserve">SELLER'S CONVEYANCER: </w:t>
            </w:r>
          </w:p>
        </w:tc>
        <w:tc>
          <w:tcPr>
            <w:tcW w:w="6634" w:type="dxa"/>
            <w:tcBorders>
              <w:top w:val="single" w:sz="4" w:space="0" w:color="7030A0"/>
              <w:left w:val="single" w:sz="4" w:space="0" w:color="7030A0"/>
              <w:bottom w:val="single" w:sz="4" w:space="0" w:color="7030A0"/>
              <w:right w:val="single" w:sz="4" w:space="0" w:color="7030A0"/>
            </w:tcBorders>
          </w:tcPr>
          <w:p w14:paraId="000000E0" w14:textId="77777777" w:rsidR="006E4CBF" w:rsidRDefault="00F24F9B">
            <w:r>
              <w:rPr>
                <w:rFonts w:ascii="Calibri" w:eastAsia="Calibri" w:hAnsi="Calibri" w:cs="Calibri"/>
                <w:b/>
                <w:bCs/>
              </w:rPr>
              <w:t xml:space="preserve"> </w:t>
            </w:r>
          </w:p>
        </w:tc>
      </w:tr>
      <w:tr w:rsidR="006E4CBF" w14:paraId="1CA9A553" w14:textId="77777777" w:rsidTr="00ED672A">
        <w:trPr>
          <w:trHeight w:val="1412"/>
        </w:trPr>
        <w:tc>
          <w:tcPr>
            <w:tcW w:w="3009" w:type="dxa"/>
            <w:vMerge w:val="restart"/>
            <w:tcBorders>
              <w:top w:val="single" w:sz="4" w:space="0" w:color="7030A0"/>
              <w:left w:val="single" w:sz="4" w:space="0" w:color="7030A0"/>
              <w:bottom w:val="single" w:sz="4" w:space="0" w:color="7030A0"/>
              <w:right w:val="single" w:sz="4" w:space="0" w:color="7030A0"/>
            </w:tcBorders>
          </w:tcPr>
          <w:p w14:paraId="000000E1" w14:textId="77777777" w:rsidR="006E4CBF" w:rsidRDefault="00F24F9B">
            <w:r>
              <w:rPr>
                <w:rFonts w:ascii="Calibri" w:eastAsia="Calibri" w:hAnsi="Calibri" w:cs="Calibri"/>
                <w:b/>
                <w:bCs/>
              </w:rPr>
              <w:t xml:space="preserve">SELLER'S CONVEYANCER ADDRESS: </w:t>
            </w:r>
          </w:p>
          <w:p w14:paraId="000000E2" w14:textId="77777777" w:rsidR="006E4CBF" w:rsidRDefault="00F24F9B">
            <w:r>
              <w:rPr>
                <w:rFonts w:ascii="Calibri" w:eastAsia="Calibri" w:hAnsi="Calibri" w:cs="Calibri"/>
                <w:b/>
                <w:bCs/>
              </w:rPr>
              <w:t xml:space="preserve"> </w:t>
            </w:r>
          </w:p>
          <w:p w14:paraId="000000E3" w14:textId="77777777" w:rsidR="006E4CBF" w:rsidRDefault="00F24F9B">
            <w:r>
              <w:rPr>
                <w:rFonts w:ascii="Calibri" w:eastAsia="Calibri" w:hAnsi="Calibri" w:cs="Calibri"/>
                <w:b/>
                <w:bCs/>
              </w:rPr>
              <w:t xml:space="preserve"> </w:t>
            </w:r>
          </w:p>
          <w:p w14:paraId="000000E4" w14:textId="77777777" w:rsidR="006E4CBF" w:rsidRDefault="00F24F9B">
            <w:r>
              <w:rPr>
                <w:rFonts w:ascii="Calibri" w:eastAsia="Calibri" w:hAnsi="Calibri" w:cs="Calibri"/>
                <w:b/>
                <w:bCs/>
              </w:rPr>
              <w:t xml:space="preserve">POSTCODE: </w:t>
            </w:r>
          </w:p>
          <w:p w14:paraId="000000E5" w14:textId="77777777" w:rsidR="006E4CBF" w:rsidRDefault="00F24F9B">
            <w:r>
              <w:rPr>
                <w:rFonts w:ascii="Calibri" w:eastAsia="Calibri" w:hAnsi="Calibri" w:cs="Calibri"/>
                <w:b/>
                <w:bCs/>
              </w:rPr>
              <w:t xml:space="preserve"> </w:t>
            </w:r>
          </w:p>
          <w:p w14:paraId="000000E6" w14:textId="77777777" w:rsidR="006E4CBF" w:rsidRDefault="00F24F9B">
            <w:r>
              <w:rPr>
                <w:rFonts w:ascii="Calibri" w:eastAsia="Calibri" w:hAnsi="Calibri" w:cs="Calibri"/>
                <w:b/>
                <w:bCs/>
              </w:rPr>
              <w:t xml:space="preserve">CONTACT NAME: </w:t>
            </w:r>
          </w:p>
          <w:p w14:paraId="000000E7" w14:textId="77777777" w:rsidR="006E4CBF" w:rsidRDefault="00F24F9B">
            <w:r>
              <w:rPr>
                <w:rFonts w:ascii="Calibri" w:eastAsia="Calibri" w:hAnsi="Calibri" w:cs="Calibri"/>
                <w:b/>
                <w:bCs/>
              </w:rPr>
              <w:t xml:space="preserve">CONTACT TELEPHONE: </w:t>
            </w:r>
          </w:p>
          <w:p w14:paraId="000000E8" w14:textId="77777777" w:rsidR="006E4CBF" w:rsidRDefault="00F24F9B">
            <w:r>
              <w:rPr>
                <w:rFonts w:ascii="Calibri" w:eastAsia="Calibri" w:hAnsi="Calibri" w:cs="Calibri"/>
                <w:b/>
                <w:bCs/>
              </w:rPr>
              <w:t xml:space="preserve">CONTACT EMAIL: </w:t>
            </w:r>
          </w:p>
        </w:tc>
        <w:tc>
          <w:tcPr>
            <w:tcW w:w="6634" w:type="dxa"/>
            <w:tcBorders>
              <w:top w:val="single" w:sz="4" w:space="0" w:color="7030A0"/>
              <w:left w:val="single" w:sz="4" w:space="0" w:color="7030A0"/>
              <w:bottom w:val="single" w:sz="4" w:space="0" w:color="7030A0"/>
              <w:right w:val="single" w:sz="4" w:space="0" w:color="7030A0"/>
            </w:tcBorders>
          </w:tcPr>
          <w:p w14:paraId="000000E9" w14:textId="77777777" w:rsidR="006E4CBF" w:rsidRDefault="00F24F9B">
            <w:r>
              <w:rPr>
                <w:rFonts w:ascii="Calibri" w:eastAsia="Calibri" w:hAnsi="Calibri" w:cs="Calibri"/>
                <w:b/>
                <w:bCs/>
              </w:rPr>
              <w:t xml:space="preserve"> </w:t>
            </w:r>
          </w:p>
        </w:tc>
      </w:tr>
      <w:tr w:rsidR="006E4CBF" w14:paraId="33382BEF" w14:textId="77777777" w:rsidTr="00ED672A">
        <w:trPr>
          <w:trHeight w:val="408"/>
        </w:trPr>
        <w:tc>
          <w:tcPr>
            <w:tcW w:w="3009" w:type="dxa"/>
            <w:vMerge/>
            <w:tcBorders>
              <w:top w:val="single" w:sz="4" w:space="0" w:color="7030A0"/>
              <w:left w:val="single" w:sz="4" w:space="0" w:color="7030A0"/>
              <w:bottom w:val="single" w:sz="4" w:space="0" w:color="7030A0"/>
              <w:right w:val="single" w:sz="4" w:space="0" w:color="7030A0"/>
            </w:tcBorders>
          </w:tcPr>
          <w:p w14:paraId="000000EA" w14:textId="77777777" w:rsidR="006E4CBF" w:rsidRDefault="006E4CBF">
            <w:pPr>
              <w:widowControl w:val="0"/>
              <w:pBdr>
                <w:top w:val="nil"/>
                <w:left w:val="nil"/>
                <w:bottom w:val="nil"/>
                <w:right w:val="nil"/>
                <w:between w:val="nil"/>
              </w:pBdr>
              <w:spacing w:line="276" w:lineRule="auto"/>
            </w:pPr>
          </w:p>
        </w:tc>
        <w:tc>
          <w:tcPr>
            <w:tcW w:w="6634" w:type="dxa"/>
            <w:tcBorders>
              <w:top w:val="single" w:sz="4" w:space="0" w:color="7030A0"/>
              <w:left w:val="single" w:sz="4" w:space="0" w:color="7030A0"/>
              <w:bottom w:val="single" w:sz="4" w:space="0" w:color="7030A0"/>
              <w:right w:val="single" w:sz="4" w:space="0" w:color="7030A0"/>
            </w:tcBorders>
          </w:tcPr>
          <w:p w14:paraId="000000EB" w14:textId="77777777" w:rsidR="006E4CBF" w:rsidRDefault="00F24F9B">
            <w:r>
              <w:rPr>
                <w:rFonts w:ascii="Calibri" w:eastAsia="Calibri" w:hAnsi="Calibri" w:cs="Calibri"/>
                <w:b/>
                <w:bCs/>
              </w:rPr>
              <w:t xml:space="preserve"> </w:t>
            </w:r>
          </w:p>
        </w:tc>
      </w:tr>
      <w:tr w:rsidR="006E4CBF" w14:paraId="0CFA2DF1" w14:textId="77777777" w:rsidTr="00ED672A">
        <w:trPr>
          <w:trHeight w:val="292"/>
        </w:trPr>
        <w:tc>
          <w:tcPr>
            <w:tcW w:w="3009" w:type="dxa"/>
            <w:vMerge/>
            <w:tcBorders>
              <w:top w:val="single" w:sz="4" w:space="0" w:color="7030A0"/>
              <w:left w:val="single" w:sz="4" w:space="0" w:color="7030A0"/>
              <w:bottom w:val="single" w:sz="4" w:space="0" w:color="7030A0"/>
              <w:right w:val="single" w:sz="4" w:space="0" w:color="7030A0"/>
            </w:tcBorders>
          </w:tcPr>
          <w:p w14:paraId="000000EC" w14:textId="77777777" w:rsidR="006E4CBF" w:rsidRDefault="006E4CBF">
            <w:pPr>
              <w:widowControl w:val="0"/>
              <w:pBdr>
                <w:top w:val="nil"/>
                <w:left w:val="nil"/>
                <w:bottom w:val="nil"/>
                <w:right w:val="nil"/>
                <w:between w:val="nil"/>
              </w:pBdr>
              <w:spacing w:line="276" w:lineRule="auto"/>
            </w:pPr>
          </w:p>
        </w:tc>
        <w:tc>
          <w:tcPr>
            <w:tcW w:w="6634" w:type="dxa"/>
            <w:tcBorders>
              <w:top w:val="single" w:sz="4" w:space="0" w:color="7030A0"/>
              <w:left w:val="single" w:sz="4" w:space="0" w:color="7030A0"/>
              <w:bottom w:val="single" w:sz="4" w:space="0" w:color="7030A0"/>
              <w:right w:val="single" w:sz="4" w:space="0" w:color="7030A0"/>
            </w:tcBorders>
          </w:tcPr>
          <w:p w14:paraId="000000ED" w14:textId="77777777" w:rsidR="006E4CBF" w:rsidRDefault="00F24F9B">
            <w:r>
              <w:rPr>
                <w:rFonts w:ascii="Calibri" w:eastAsia="Calibri" w:hAnsi="Calibri" w:cs="Calibri"/>
                <w:b/>
                <w:bCs/>
              </w:rPr>
              <w:t xml:space="preserve"> </w:t>
            </w:r>
          </w:p>
        </w:tc>
      </w:tr>
      <w:tr w:rsidR="006E4CBF" w14:paraId="74C14047" w14:textId="77777777" w:rsidTr="00ED672A">
        <w:trPr>
          <w:trHeight w:val="316"/>
        </w:trPr>
        <w:tc>
          <w:tcPr>
            <w:tcW w:w="3009" w:type="dxa"/>
            <w:vMerge/>
            <w:tcBorders>
              <w:top w:val="single" w:sz="4" w:space="0" w:color="7030A0"/>
              <w:left w:val="single" w:sz="4" w:space="0" w:color="7030A0"/>
              <w:bottom w:val="single" w:sz="4" w:space="0" w:color="7030A0"/>
              <w:right w:val="single" w:sz="4" w:space="0" w:color="7030A0"/>
            </w:tcBorders>
          </w:tcPr>
          <w:p w14:paraId="000000EE" w14:textId="77777777" w:rsidR="006E4CBF" w:rsidRDefault="006E4CBF">
            <w:pPr>
              <w:widowControl w:val="0"/>
              <w:pBdr>
                <w:top w:val="nil"/>
                <w:left w:val="nil"/>
                <w:bottom w:val="nil"/>
                <w:right w:val="nil"/>
                <w:between w:val="nil"/>
              </w:pBdr>
              <w:spacing w:line="276" w:lineRule="auto"/>
            </w:pPr>
          </w:p>
        </w:tc>
        <w:tc>
          <w:tcPr>
            <w:tcW w:w="6634" w:type="dxa"/>
            <w:tcBorders>
              <w:top w:val="single" w:sz="4" w:space="0" w:color="7030A0"/>
              <w:left w:val="single" w:sz="4" w:space="0" w:color="7030A0"/>
              <w:bottom w:val="single" w:sz="4" w:space="0" w:color="7030A0"/>
              <w:right w:val="single" w:sz="4" w:space="0" w:color="7030A0"/>
            </w:tcBorders>
          </w:tcPr>
          <w:p w14:paraId="000000EF" w14:textId="77777777" w:rsidR="006E4CBF" w:rsidRDefault="00F24F9B">
            <w:r>
              <w:rPr>
                <w:rFonts w:ascii="Calibri" w:eastAsia="Calibri" w:hAnsi="Calibri" w:cs="Calibri"/>
                <w:b/>
                <w:bCs/>
              </w:rPr>
              <w:t xml:space="preserve"> </w:t>
            </w:r>
          </w:p>
        </w:tc>
      </w:tr>
      <w:tr w:rsidR="006E4CBF" w14:paraId="34CBD9CE" w14:textId="77777777" w:rsidTr="00ED672A">
        <w:trPr>
          <w:trHeight w:val="277"/>
        </w:trPr>
        <w:tc>
          <w:tcPr>
            <w:tcW w:w="3009" w:type="dxa"/>
            <w:tcBorders>
              <w:top w:val="single" w:sz="4" w:space="0" w:color="7030A0"/>
              <w:left w:val="single" w:sz="4" w:space="0" w:color="7030A0"/>
              <w:bottom w:val="single" w:sz="4" w:space="0" w:color="7030A0"/>
              <w:right w:val="single" w:sz="4" w:space="0" w:color="7030A0"/>
            </w:tcBorders>
          </w:tcPr>
          <w:p w14:paraId="000000F0" w14:textId="77777777" w:rsidR="006E4CBF" w:rsidRDefault="00F24F9B">
            <w:r>
              <w:rPr>
                <w:rFonts w:ascii="Calibri" w:eastAsia="Calibri" w:hAnsi="Calibri" w:cs="Calibri"/>
                <w:b/>
                <w:bCs/>
              </w:rPr>
              <w:t xml:space="preserve">SELLING AGENT: </w:t>
            </w:r>
          </w:p>
        </w:tc>
        <w:tc>
          <w:tcPr>
            <w:tcW w:w="6634" w:type="dxa"/>
            <w:tcBorders>
              <w:top w:val="single" w:sz="4" w:space="0" w:color="7030A0"/>
              <w:left w:val="single" w:sz="4" w:space="0" w:color="7030A0"/>
              <w:bottom w:val="single" w:sz="4" w:space="0" w:color="7030A0"/>
              <w:right w:val="single" w:sz="4" w:space="0" w:color="7030A0"/>
            </w:tcBorders>
          </w:tcPr>
          <w:p w14:paraId="000000F1" w14:textId="77777777" w:rsidR="006E4CBF" w:rsidRDefault="00F24F9B">
            <w:r>
              <w:rPr>
                <w:rFonts w:ascii="Calibri" w:eastAsia="Calibri" w:hAnsi="Calibri" w:cs="Calibri"/>
                <w:b/>
                <w:bCs/>
              </w:rPr>
              <w:t xml:space="preserve"> </w:t>
            </w:r>
          </w:p>
        </w:tc>
      </w:tr>
      <w:tr w:rsidR="006E4CBF" w14:paraId="0B6F90FA" w14:textId="77777777" w:rsidTr="00ED672A">
        <w:trPr>
          <w:trHeight w:val="2160"/>
        </w:trPr>
        <w:tc>
          <w:tcPr>
            <w:tcW w:w="3009" w:type="dxa"/>
            <w:tcBorders>
              <w:top w:val="single" w:sz="4" w:space="0" w:color="7030A0"/>
              <w:left w:val="single" w:sz="4" w:space="0" w:color="7030A0"/>
              <w:bottom w:val="single" w:sz="4" w:space="0" w:color="7030A0"/>
              <w:right w:val="single" w:sz="4" w:space="0" w:color="7030A0"/>
            </w:tcBorders>
          </w:tcPr>
          <w:p w14:paraId="000000F2" w14:textId="77777777" w:rsidR="006E4CBF" w:rsidRDefault="00F24F9B">
            <w:r>
              <w:rPr>
                <w:rFonts w:ascii="Calibri" w:eastAsia="Calibri" w:hAnsi="Calibri" w:cs="Calibri"/>
                <w:b/>
                <w:bCs/>
              </w:rPr>
              <w:t xml:space="preserve">SELLING AGENT ADDRESS: </w:t>
            </w:r>
          </w:p>
          <w:p w14:paraId="000000F3" w14:textId="77777777" w:rsidR="006E4CBF" w:rsidRDefault="00F24F9B">
            <w:r>
              <w:rPr>
                <w:rFonts w:ascii="Calibri" w:eastAsia="Calibri" w:hAnsi="Calibri" w:cs="Calibri"/>
                <w:b/>
                <w:bCs/>
              </w:rPr>
              <w:t xml:space="preserve"> </w:t>
            </w:r>
          </w:p>
          <w:p w14:paraId="000000F4" w14:textId="77777777" w:rsidR="006E4CBF" w:rsidRDefault="00F24F9B">
            <w:r>
              <w:rPr>
                <w:rFonts w:ascii="Calibri" w:eastAsia="Calibri" w:hAnsi="Calibri" w:cs="Calibri"/>
                <w:b/>
                <w:bCs/>
              </w:rPr>
              <w:t xml:space="preserve"> </w:t>
            </w:r>
          </w:p>
          <w:p w14:paraId="000000F5" w14:textId="77777777" w:rsidR="006E4CBF" w:rsidRDefault="00F24F9B">
            <w:r>
              <w:rPr>
                <w:rFonts w:ascii="Calibri" w:eastAsia="Calibri" w:hAnsi="Calibri" w:cs="Calibri"/>
                <w:b/>
                <w:bCs/>
              </w:rPr>
              <w:t xml:space="preserve">POSTCODE: </w:t>
            </w:r>
          </w:p>
          <w:p w14:paraId="000000F6" w14:textId="77777777" w:rsidR="006E4CBF" w:rsidRDefault="00F24F9B">
            <w:r>
              <w:rPr>
                <w:rFonts w:ascii="Calibri" w:eastAsia="Calibri" w:hAnsi="Calibri" w:cs="Calibri"/>
                <w:b/>
                <w:bCs/>
              </w:rPr>
              <w:t xml:space="preserve"> </w:t>
            </w:r>
          </w:p>
          <w:p w14:paraId="000000F7" w14:textId="77777777" w:rsidR="006E4CBF" w:rsidRDefault="00F24F9B">
            <w:r>
              <w:rPr>
                <w:rFonts w:ascii="Calibri" w:eastAsia="Calibri" w:hAnsi="Calibri" w:cs="Calibri"/>
                <w:b/>
                <w:bCs/>
              </w:rPr>
              <w:t xml:space="preserve">CONTACT NAME: </w:t>
            </w:r>
          </w:p>
          <w:p w14:paraId="000000F8" w14:textId="77777777" w:rsidR="006E4CBF" w:rsidRDefault="00F24F9B">
            <w:r>
              <w:rPr>
                <w:rFonts w:ascii="Calibri" w:eastAsia="Calibri" w:hAnsi="Calibri" w:cs="Calibri"/>
                <w:b/>
                <w:bCs/>
              </w:rPr>
              <w:t xml:space="preserve">CONTACT TELEPHONE: </w:t>
            </w:r>
          </w:p>
          <w:p w14:paraId="000000F9" w14:textId="77777777" w:rsidR="006E4CBF" w:rsidRDefault="00F24F9B">
            <w:r>
              <w:rPr>
                <w:rFonts w:ascii="Calibri" w:eastAsia="Calibri" w:hAnsi="Calibri" w:cs="Calibri"/>
                <w:b/>
                <w:bCs/>
              </w:rPr>
              <w:t xml:space="preserve">CONTACT EMAIL: </w:t>
            </w:r>
          </w:p>
        </w:tc>
        <w:tc>
          <w:tcPr>
            <w:tcW w:w="6634" w:type="dxa"/>
            <w:tcBorders>
              <w:top w:val="single" w:sz="4" w:space="0" w:color="7030A0"/>
              <w:left w:val="single" w:sz="4" w:space="0" w:color="7030A0"/>
              <w:bottom w:val="single" w:sz="4" w:space="0" w:color="7030A0"/>
              <w:right w:val="single" w:sz="4" w:space="0" w:color="7030A0"/>
            </w:tcBorders>
          </w:tcPr>
          <w:p w14:paraId="000000FA" w14:textId="77777777" w:rsidR="006E4CBF" w:rsidRDefault="00F24F9B">
            <w:r>
              <w:rPr>
                <w:rFonts w:ascii="Calibri" w:eastAsia="Calibri" w:hAnsi="Calibri" w:cs="Calibri"/>
                <w:b/>
                <w:bCs/>
              </w:rPr>
              <w:t xml:space="preserve"> </w:t>
            </w:r>
          </w:p>
        </w:tc>
      </w:tr>
      <w:tr w:rsidR="006E4CBF" w14:paraId="521971D4" w14:textId="77777777" w:rsidTr="00ED672A">
        <w:trPr>
          <w:trHeight w:val="548"/>
        </w:trPr>
        <w:tc>
          <w:tcPr>
            <w:tcW w:w="3009" w:type="dxa"/>
            <w:tcBorders>
              <w:top w:val="single" w:sz="4" w:space="0" w:color="7030A0"/>
              <w:left w:val="single" w:sz="4" w:space="0" w:color="7030A0"/>
              <w:bottom w:val="single" w:sz="4" w:space="0" w:color="7030A0"/>
              <w:right w:val="single" w:sz="4" w:space="0" w:color="7030A0"/>
            </w:tcBorders>
          </w:tcPr>
          <w:p w14:paraId="000000FB" w14:textId="77777777" w:rsidR="006E4CBF" w:rsidRDefault="00F24F9B">
            <w:r>
              <w:rPr>
                <w:rFonts w:ascii="Calibri" w:eastAsia="Calibri" w:hAnsi="Calibri" w:cs="Calibri"/>
                <w:b/>
                <w:bCs/>
              </w:rPr>
              <w:t xml:space="preserve">BUYER(S) FULL NAMES: </w:t>
            </w:r>
          </w:p>
        </w:tc>
        <w:tc>
          <w:tcPr>
            <w:tcW w:w="6634" w:type="dxa"/>
            <w:tcBorders>
              <w:top w:val="single" w:sz="4" w:space="0" w:color="7030A0"/>
              <w:left w:val="single" w:sz="4" w:space="0" w:color="7030A0"/>
              <w:bottom w:val="single" w:sz="4" w:space="0" w:color="7030A0"/>
              <w:right w:val="single" w:sz="4" w:space="0" w:color="7030A0"/>
            </w:tcBorders>
          </w:tcPr>
          <w:p w14:paraId="000000FC" w14:textId="77777777" w:rsidR="006E4CBF" w:rsidRDefault="00F24F9B">
            <w:r>
              <w:rPr>
                <w:rFonts w:ascii="Calibri" w:eastAsia="Calibri" w:hAnsi="Calibri" w:cs="Calibri"/>
                <w:b/>
                <w:bCs/>
              </w:rPr>
              <w:t xml:space="preserve"> </w:t>
            </w:r>
          </w:p>
          <w:p w14:paraId="000000FD" w14:textId="77777777" w:rsidR="006E4CBF" w:rsidRDefault="00F24F9B">
            <w:r>
              <w:rPr>
                <w:rFonts w:ascii="Calibri" w:eastAsia="Calibri" w:hAnsi="Calibri" w:cs="Calibri"/>
                <w:b/>
                <w:bCs/>
              </w:rPr>
              <w:t xml:space="preserve"> </w:t>
            </w:r>
          </w:p>
        </w:tc>
      </w:tr>
      <w:tr w:rsidR="006E4CBF" w14:paraId="3530B5E5" w14:textId="77777777" w:rsidTr="00ED672A">
        <w:trPr>
          <w:trHeight w:val="1084"/>
        </w:trPr>
        <w:tc>
          <w:tcPr>
            <w:tcW w:w="3009" w:type="dxa"/>
            <w:tcBorders>
              <w:top w:val="single" w:sz="4" w:space="0" w:color="7030A0"/>
              <w:left w:val="single" w:sz="4" w:space="0" w:color="7030A0"/>
              <w:bottom w:val="single" w:sz="4" w:space="0" w:color="7030A0"/>
              <w:right w:val="single" w:sz="4" w:space="0" w:color="7030A0"/>
            </w:tcBorders>
          </w:tcPr>
          <w:p w14:paraId="000000FE" w14:textId="77777777" w:rsidR="006E4CBF" w:rsidRDefault="00F24F9B">
            <w:r>
              <w:rPr>
                <w:rFonts w:ascii="Calibri" w:eastAsia="Calibri" w:hAnsi="Calibri" w:cs="Calibri"/>
                <w:b/>
                <w:bCs/>
              </w:rPr>
              <w:t xml:space="preserve">BUYER ADDRESS: </w:t>
            </w:r>
          </w:p>
          <w:p w14:paraId="000000FF" w14:textId="77777777" w:rsidR="006E4CBF" w:rsidRDefault="00F24F9B">
            <w:r>
              <w:rPr>
                <w:rFonts w:ascii="Calibri" w:eastAsia="Calibri" w:hAnsi="Calibri" w:cs="Calibri"/>
                <w:b/>
                <w:bCs/>
              </w:rPr>
              <w:t xml:space="preserve"> </w:t>
            </w:r>
          </w:p>
          <w:p w14:paraId="00000100" w14:textId="77777777" w:rsidR="006E4CBF" w:rsidRDefault="00F24F9B">
            <w:r>
              <w:rPr>
                <w:rFonts w:ascii="Calibri" w:eastAsia="Calibri" w:hAnsi="Calibri" w:cs="Calibri"/>
                <w:b/>
                <w:bCs/>
              </w:rPr>
              <w:t xml:space="preserve"> </w:t>
            </w:r>
          </w:p>
          <w:p w14:paraId="00000101" w14:textId="77777777" w:rsidR="006E4CBF" w:rsidRDefault="00F24F9B">
            <w:r>
              <w:rPr>
                <w:rFonts w:ascii="Calibri" w:eastAsia="Calibri" w:hAnsi="Calibri" w:cs="Calibri"/>
                <w:b/>
                <w:bCs/>
              </w:rPr>
              <w:t xml:space="preserve">POSTCODE: </w:t>
            </w:r>
          </w:p>
        </w:tc>
        <w:tc>
          <w:tcPr>
            <w:tcW w:w="6634" w:type="dxa"/>
            <w:tcBorders>
              <w:top w:val="single" w:sz="4" w:space="0" w:color="7030A0"/>
              <w:left w:val="single" w:sz="4" w:space="0" w:color="7030A0"/>
              <w:bottom w:val="single" w:sz="4" w:space="0" w:color="7030A0"/>
              <w:right w:val="single" w:sz="4" w:space="0" w:color="7030A0"/>
            </w:tcBorders>
          </w:tcPr>
          <w:p w14:paraId="00000102" w14:textId="77777777" w:rsidR="006E4CBF" w:rsidRDefault="00F24F9B">
            <w:r>
              <w:rPr>
                <w:rFonts w:ascii="Calibri" w:eastAsia="Calibri" w:hAnsi="Calibri" w:cs="Calibri"/>
                <w:b/>
                <w:bCs/>
              </w:rPr>
              <w:t xml:space="preserve"> </w:t>
            </w:r>
          </w:p>
        </w:tc>
      </w:tr>
      <w:tr w:rsidR="006E4CBF" w14:paraId="28BEF0E7" w14:textId="77777777" w:rsidTr="00ED672A">
        <w:trPr>
          <w:trHeight w:val="280"/>
        </w:trPr>
        <w:tc>
          <w:tcPr>
            <w:tcW w:w="3009" w:type="dxa"/>
            <w:tcBorders>
              <w:top w:val="single" w:sz="4" w:space="0" w:color="7030A0"/>
              <w:left w:val="single" w:sz="4" w:space="0" w:color="7030A0"/>
              <w:bottom w:val="single" w:sz="4" w:space="0" w:color="7030A0"/>
              <w:right w:val="single" w:sz="4" w:space="0" w:color="7030A0"/>
            </w:tcBorders>
          </w:tcPr>
          <w:p w14:paraId="00000103" w14:textId="77777777" w:rsidR="006E4CBF" w:rsidRDefault="00F24F9B">
            <w:r>
              <w:rPr>
                <w:rFonts w:ascii="Calibri" w:eastAsia="Calibri" w:hAnsi="Calibri" w:cs="Calibri"/>
                <w:b/>
                <w:bCs/>
              </w:rPr>
              <w:t xml:space="preserve">BUYER'S CONVEYANCER: </w:t>
            </w:r>
          </w:p>
        </w:tc>
        <w:tc>
          <w:tcPr>
            <w:tcW w:w="6634" w:type="dxa"/>
            <w:tcBorders>
              <w:top w:val="single" w:sz="4" w:space="0" w:color="7030A0"/>
              <w:left w:val="single" w:sz="4" w:space="0" w:color="7030A0"/>
              <w:bottom w:val="single" w:sz="4" w:space="0" w:color="7030A0"/>
              <w:right w:val="single" w:sz="4" w:space="0" w:color="7030A0"/>
            </w:tcBorders>
          </w:tcPr>
          <w:p w14:paraId="00000104" w14:textId="77777777" w:rsidR="006E4CBF" w:rsidRDefault="00F24F9B">
            <w:r>
              <w:rPr>
                <w:rFonts w:ascii="Calibri" w:eastAsia="Calibri" w:hAnsi="Calibri" w:cs="Calibri"/>
                <w:b/>
                <w:bCs/>
              </w:rPr>
              <w:t xml:space="preserve"> </w:t>
            </w:r>
          </w:p>
        </w:tc>
      </w:tr>
    </w:tbl>
    <w:p w14:paraId="00000105" w14:textId="77777777" w:rsidR="006E4CBF" w:rsidRDefault="006E4CBF">
      <w:pPr>
        <w:spacing w:after="0"/>
        <w:ind w:left="-1297" w:right="10472"/>
      </w:pPr>
    </w:p>
    <w:tbl>
      <w:tblPr>
        <w:tblStyle w:val="a5"/>
        <w:tblW w:w="8780" w:type="dxa"/>
        <w:tblInd w:w="-140" w:type="dxa"/>
        <w:tblLayout w:type="fixed"/>
        <w:tblLook w:val="0400" w:firstRow="0" w:lastRow="0" w:firstColumn="0" w:lastColumn="0" w:noHBand="0" w:noVBand="1"/>
      </w:tblPr>
      <w:tblGrid>
        <w:gridCol w:w="117"/>
        <w:gridCol w:w="2677"/>
        <w:gridCol w:w="5986"/>
      </w:tblGrid>
      <w:tr w:rsidR="006E4CBF" w14:paraId="402C982C" w14:textId="77777777" w:rsidTr="00ED672A">
        <w:trPr>
          <w:trHeight w:val="2428"/>
        </w:trPr>
        <w:tc>
          <w:tcPr>
            <w:tcW w:w="2794" w:type="dxa"/>
            <w:gridSpan w:val="2"/>
            <w:tcBorders>
              <w:top w:val="single" w:sz="4" w:space="0" w:color="7030A0"/>
              <w:left w:val="single" w:sz="4" w:space="0" w:color="7030A0"/>
              <w:bottom w:val="single" w:sz="4" w:space="0" w:color="7030A0"/>
              <w:right w:val="single" w:sz="4" w:space="0" w:color="7030A0"/>
            </w:tcBorders>
          </w:tcPr>
          <w:p w14:paraId="00000106" w14:textId="77777777" w:rsidR="006E4CBF" w:rsidRDefault="00F24F9B">
            <w:pPr>
              <w:spacing w:line="242" w:lineRule="auto"/>
              <w:ind w:left="44"/>
            </w:pPr>
            <w:r>
              <w:rPr>
                <w:rFonts w:ascii="Calibri" w:eastAsia="Calibri" w:hAnsi="Calibri" w:cs="Calibri"/>
                <w:b/>
                <w:bCs/>
              </w:rPr>
              <w:t xml:space="preserve">BUYER'S CONVEYANCER ADDRESS: </w:t>
            </w:r>
          </w:p>
          <w:p w14:paraId="00000107" w14:textId="77777777" w:rsidR="006E4CBF" w:rsidRDefault="00F24F9B">
            <w:pPr>
              <w:ind w:left="44"/>
            </w:pPr>
            <w:r>
              <w:rPr>
                <w:rFonts w:ascii="Calibri" w:eastAsia="Calibri" w:hAnsi="Calibri" w:cs="Calibri"/>
                <w:b/>
                <w:bCs/>
              </w:rPr>
              <w:t xml:space="preserve"> </w:t>
            </w:r>
          </w:p>
          <w:p w14:paraId="00000108" w14:textId="77777777" w:rsidR="006E4CBF" w:rsidRDefault="00F24F9B">
            <w:pPr>
              <w:ind w:left="44"/>
            </w:pPr>
            <w:r>
              <w:rPr>
                <w:rFonts w:ascii="Calibri" w:eastAsia="Calibri" w:hAnsi="Calibri" w:cs="Calibri"/>
                <w:b/>
                <w:bCs/>
              </w:rPr>
              <w:t xml:space="preserve"> </w:t>
            </w:r>
          </w:p>
          <w:p w14:paraId="00000109" w14:textId="77777777" w:rsidR="006E4CBF" w:rsidRDefault="00F24F9B">
            <w:pPr>
              <w:ind w:left="44"/>
            </w:pPr>
            <w:r>
              <w:rPr>
                <w:rFonts w:ascii="Calibri" w:eastAsia="Calibri" w:hAnsi="Calibri" w:cs="Calibri"/>
                <w:b/>
                <w:bCs/>
              </w:rPr>
              <w:t xml:space="preserve">POSTCODE: </w:t>
            </w:r>
          </w:p>
          <w:p w14:paraId="0000010A" w14:textId="77777777" w:rsidR="006E4CBF" w:rsidRDefault="00F24F9B">
            <w:pPr>
              <w:ind w:left="44"/>
            </w:pPr>
            <w:r>
              <w:rPr>
                <w:rFonts w:ascii="Calibri" w:eastAsia="Calibri" w:hAnsi="Calibri" w:cs="Calibri"/>
                <w:b/>
                <w:bCs/>
              </w:rPr>
              <w:t xml:space="preserve"> </w:t>
            </w:r>
          </w:p>
          <w:p w14:paraId="0000010B" w14:textId="77777777" w:rsidR="006E4CBF" w:rsidRDefault="00F24F9B">
            <w:pPr>
              <w:ind w:left="44"/>
            </w:pPr>
            <w:r>
              <w:rPr>
                <w:rFonts w:ascii="Calibri" w:eastAsia="Calibri" w:hAnsi="Calibri" w:cs="Calibri"/>
                <w:b/>
                <w:bCs/>
              </w:rPr>
              <w:t xml:space="preserve">CONTACT NAME: </w:t>
            </w:r>
          </w:p>
          <w:p w14:paraId="0000010C" w14:textId="77777777" w:rsidR="006E4CBF" w:rsidRDefault="00F24F9B">
            <w:pPr>
              <w:ind w:left="44"/>
            </w:pPr>
            <w:r>
              <w:rPr>
                <w:rFonts w:ascii="Calibri" w:eastAsia="Calibri" w:hAnsi="Calibri" w:cs="Calibri"/>
                <w:b/>
                <w:bCs/>
              </w:rPr>
              <w:t xml:space="preserve">CONTACT TELEPHONE: </w:t>
            </w:r>
          </w:p>
          <w:p w14:paraId="0000010D" w14:textId="77777777" w:rsidR="006E4CBF" w:rsidRDefault="00F24F9B">
            <w:pPr>
              <w:ind w:left="44"/>
            </w:pPr>
            <w:r>
              <w:rPr>
                <w:rFonts w:ascii="Calibri" w:eastAsia="Calibri" w:hAnsi="Calibri" w:cs="Calibri"/>
                <w:b/>
                <w:bCs/>
              </w:rPr>
              <w:t xml:space="preserve">CONTACT EMAIL: </w:t>
            </w:r>
          </w:p>
        </w:tc>
        <w:tc>
          <w:tcPr>
            <w:tcW w:w="5986" w:type="dxa"/>
            <w:tcBorders>
              <w:top w:val="single" w:sz="4" w:space="0" w:color="7030A0"/>
              <w:left w:val="single" w:sz="4" w:space="0" w:color="7030A0"/>
              <w:bottom w:val="single" w:sz="4" w:space="0" w:color="7030A0"/>
              <w:right w:val="single" w:sz="4" w:space="0" w:color="7030A0"/>
            </w:tcBorders>
          </w:tcPr>
          <w:p w14:paraId="0000010F" w14:textId="77777777" w:rsidR="006E4CBF" w:rsidRDefault="00F24F9B">
            <w:pPr>
              <w:ind w:left="44"/>
            </w:pPr>
            <w:r>
              <w:rPr>
                <w:rFonts w:ascii="Calibri" w:eastAsia="Calibri" w:hAnsi="Calibri" w:cs="Calibri"/>
                <w:b/>
                <w:bCs/>
              </w:rPr>
              <w:t xml:space="preserve"> </w:t>
            </w:r>
          </w:p>
        </w:tc>
      </w:tr>
      <w:tr w:rsidR="006E4CBF" w14:paraId="09D6AA0D" w14:textId="77777777" w:rsidTr="00ED672A">
        <w:trPr>
          <w:trHeight w:val="1084"/>
        </w:trPr>
        <w:tc>
          <w:tcPr>
            <w:tcW w:w="2794" w:type="dxa"/>
            <w:gridSpan w:val="2"/>
            <w:tcBorders>
              <w:top w:val="single" w:sz="4" w:space="0" w:color="7030A0"/>
              <w:left w:val="single" w:sz="4" w:space="0" w:color="7030A0"/>
              <w:bottom w:val="single" w:sz="4" w:space="0" w:color="7030A0"/>
              <w:right w:val="single" w:sz="4" w:space="0" w:color="7030A0"/>
            </w:tcBorders>
          </w:tcPr>
          <w:p w14:paraId="00000110" w14:textId="77777777" w:rsidR="006E4CBF" w:rsidRDefault="00F24F9B">
            <w:pPr>
              <w:ind w:left="44"/>
            </w:pPr>
            <w:r>
              <w:rPr>
                <w:rFonts w:ascii="Calibri" w:eastAsia="Calibri" w:hAnsi="Calibri" w:cs="Calibri"/>
                <w:b/>
                <w:bCs/>
              </w:rPr>
              <w:t xml:space="preserve">BUYER'S POSITION: </w:t>
            </w:r>
          </w:p>
        </w:tc>
        <w:tc>
          <w:tcPr>
            <w:tcW w:w="5986" w:type="dxa"/>
            <w:tcBorders>
              <w:top w:val="single" w:sz="4" w:space="0" w:color="7030A0"/>
              <w:left w:val="single" w:sz="4" w:space="0" w:color="7030A0"/>
              <w:bottom w:val="single" w:sz="4" w:space="0" w:color="7030A0"/>
              <w:right w:val="single" w:sz="4" w:space="0" w:color="7030A0"/>
            </w:tcBorders>
          </w:tcPr>
          <w:p w14:paraId="00000112" w14:textId="77777777" w:rsidR="006E4CBF" w:rsidRDefault="00F24F9B">
            <w:pPr>
              <w:spacing w:after="4"/>
              <w:ind w:left="44"/>
            </w:pPr>
            <w:r>
              <w:rPr>
                <w:rFonts w:ascii="Calibri" w:eastAsia="Calibri" w:hAnsi="Calibri" w:cs="Calibri"/>
              </w:rPr>
              <w:t xml:space="preserve"> Mortgage: [Required] [In principle approved] [Not required - cash buyer] </w:t>
            </w:r>
          </w:p>
          <w:p w14:paraId="00000113" w14:textId="77777777" w:rsidR="006E4CBF" w:rsidRDefault="00F24F9B">
            <w:pPr>
              <w:ind w:left="44"/>
            </w:pPr>
            <w:r>
              <w:rPr>
                <w:rFonts w:ascii="Calibri" w:eastAsia="Calibri" w:hAnsi="Calibri" w:cs="Calibri"/>
              </w:rPr>
              <w:t xml:space="preserve">Chain : [Chain free – not dependent on a sale] [Dependent on a sale] </w:t>
            </w:r>
          </w:p>
          <w:p w14:paraId="00000114" w14:textId="77777777" w:rsidR="006E4CBF" w:rsidRDefault="00F24F9B">
            <w:pPr>
              <w:ind w:left="44"/>
            </w:pPr>
            <w:r>
              <w:rPr>
                <w:rFonts w:ascii="Calibri" w:eastAsia="Calibri" w:hAnsi="Calibri" w:cs="Calibri"/>
              </w:rPr>
              <w:t xml:space="preserve"> </w:t>
            </w:r>
          </w:p>
        </w:tc>
      </w:tr>
      <w:tr w:rsidR="006E4CBF" w14:paraId="0B4674F1" w14:textId="77777777" w:rsidTr="00ED672A">
        <w:trPr>
          <w:trHeight w:val="816"/>
        </w:trPr>
        <w:tc>
          <w:tcPr>
            <w:tcW w:w="2794" w:type="dxa"/>
            <w:gridSpan w:val="2"/>
            <w:tcBorders>
              <w:top w:val="single" w:sz="4" w:space="0" w:color="7030A0"/>
              <w:left w:val="single" w:sz="4" w:space="0" w:color="7030A0"/>
              <w:bottom w:val="single" w:sz="4" w:space="0" w:color="7030A0"/>
              <w:right w:val="single" w:sz="4" w:space="0" w:color="7030A0"/>
            </w:tcBorders>
          </w:tcPr>
          <w:p w14:paraId="00000115" w14:textId="77777777" w:rsidR="006E4CBF" w:rsidRDefault="00F24F9B">
            <w:pPr>
              <w:ind w:left="44"/>
            </w:pPr>
            <w:r>
              <w:rPr>
                <w:rFonts w:ascii="Calibri" w:eastAsia="Calibri" w:hAnsi="Calibri" w:cs="Calibri"/>
                <w:b/>
                <w:bCs/>
              </w:rPr>
              <w:t xml:space="preserve">SELLER'S POSITION </w:t>
            </w:r>
          </w:p>
        </w:tc>
        <w:tc>
          <w:tcPr>
            <w:tcW w:w="5986" w:type="dxa"/>
            <w:tcBorders>
              <w:top w:val="single" w:sz="4" w:space="0" w:color="7030A0"/>
              <w:left w:val="single" w:sz="4" w:space="0" w:color="7030A0"/>
              <w:bottom w:val="single" w:sz="4" w:space="0" w:color="7030A0"/>
              <w:right w:val="single" w:sz="4" w:space="0" w:color="7030A0"/>
            </w:tcBorders>
          </w:tcPr>
          <w:p w14:paraId="00000117" w14:textId="77777777" w:rsidR="006E4CBF" w:rsidRDefault="00F24F9B">
            <w:pPr>
              <w:spacing w:after="5"/>
              <w:ind w:left="44"/>
            </w:pPr>
            <w:r>
              <w:rPr>
                <w:rFonts w:ascii="Calibri" w:eastAsia="Calibri" w:hAnsi="Calibri" w:cs="Calibri"/>
              </w:rPr>
              <w:t xml:space="preserve">Chain : [Chain free – not dependent on a purchase] [Dependent on a purchase] </w:t>
            </w:r>
          </w:p>
          <w:p w14:paraId="00000118" w14:textId="77777777" w:rsidR="006E4CBF" w:rsidRDefault="00F24F9B">
            <w:pPr>
              <w:ind w:left="44"/>
            </w:pPr>
            <w:r>
              <w:rPr>
                <w:rFonts w:ascii="Calibri" w:eastAsia="Calibri" w:hAnsi="Calibri" w:cs="Calibri"/>
              </w:rPr>
              <w:t xml:space="preserve"> </w:t>
            </w:r>
          </w:p>
        </w:tc>
      </w:tr>
      <w:tr w:rsidR="006E4CBF" w14:paraId="2900E837" w14:textId="77777777" w:rsidTr="00ED672A">
        <w:trPr>
          <w:trHeight w:val="816"/>
        </w:trPr>
        <w:tc>
          <w:tcPr>
            <w:tcW w:w="8780" w:type="dxa"/>
            <w:gridSpan w:val="3"/>
            <w:tcBorders>
              <w:top w:val="single" w:sz="4" w:space="0" w:color="7030A0"/>
              <w:left w:val="single" w:sz="4" w:space="0" w:color="7030A0"/>
              <w:bottom w:val="single" w:sz="4" w:space="0" w:color="7030A0"/>
              <w:right w:val="single" w:sz="4" w:space="0" w:color="7030A0"/>
            </w:tcBorders>
          </w:tcPr>
          <w:p w14:paraId="00000119" w14:textId="77777777" w:rsidR="006E4CBF" w:rsidRDefault="00F24F9B">
            <w:pPr>
              <w:ind w:left="85"/>
              <w:jc w:val="center"/>
            </w:pPr>
            <w:r>
              <w:rPr>
                <w:rFonts w:ascii="Calibri" w:eastAsia="Calibri" w:hAnsi="Calibri" w:cs="Calibri"/>
                <w:b/>
                <w:bCs/>
              </w:rPr>
              <w:t xml:space="preserve"> </w:t>
            </w:r>
          </w:p>
          <w:p w14:paraId="0000011A" w14:textId="77777777" w:rsidR="006E4CBF" w:rsidRDefault="00F24F9B">
            <w:pPr>
              <w:ind w:left="31"/>
              <w:jc w:val="center"/>
            </w:pPr>
            <w:r>
              <w:rPr>
                <w:rFonts w:ascii="Calibri" w:eastAsia="Calibri" w:hAnsi="Calibri" w:cs="Calibri"/>
                <w:b/>
                <w:bCs/>
              </w:rPr>
              <w:t xml:space="preserve">STANDARD RESERVATION CONDITIONS </w:t>
            </w:r>
          </w:p>
          <w:p w14:paraId="0000011B" w14:textId="77777777" w:rsidR="006E4CBF" w:rsidRDefault="00F24F9B">
            <w:pPr>
              <w:ind w:left="85"/>
              <w:jc w:val="center"/>
            </w:pPr>
            <w:r>
              <w:rPr>
                <w:rFonts w:ascii="Calibri" w:eastAsia="Calibri" w:hAnsi="Calibri" w:cs="Calibri"/>
                <w:b/>
                <w:bCs/>
              </w:rPr>
              <w:t xml:space="preserve"> </w:t>
            </w:r>
          </w:p>
        </w:tc>
      </w:tr>
      <w:tr w:rsidR="006E4CBF" w14:paraId="776AEA10" w14:textId="77777777" w:rsidTr="00ED672A">
        <w:trPr>
          <w:trHeight w:val="8434"/>
        </w:trPr>
        <w:tc>
          <w:tcPr>
            <w:tcW w:w="8780" w:type="dxa"/>
            <w:gridSpan w:val="3"/>
            <w:tcBorders>
              <w:top w:val="single" w:sz="4" w:space="0" w:color="7030A0"/>
              <w:left w:val="single" w:sz="4" w:space="0" w:color="7030A0"/>
              <w:bottom w:val="single" w:sz="4" w:space="0" w:color="7030A0"/>
              <w:right w:val="single" w:sz="4" w:space="0" w:color="7030A0"/>
            </w:tcBorders>
          </w:tcPr>
          <w:p w14:paraId="0000011E" w14:textId="77777777" w:rsidR="006E4CBF" w:rsidRDefault="00F24F9B">
            <w:pPr>
              <w:numPr>
                <w:ilvl w:val="0"/>
                <w:numId w:val="1"/>
              </w:numPr>
              <w:spacing w:after="154"/>
            </w:pPr>
            <w:r>
              <w:rPr>
                <w:rFonts w:ascii="Calibri" w:eastAsia="Calibri" w:hAnsi="Calibri" w:cs="Calibri"/>
              </w:rPr>
              <w:t xml:space="preserve">The Reservation Deposits have been paid by the parties to the Selling Agent to be held as stakeholder in accordance with this agreement. </w:t>
            </w:r>
          </w:p>
          <w:p w14:paraId="0000011F" w14:textId="58C89FFF" w:rsidR="006E4CBF" w:rsidRDefault="00F24F9B">
            <w:pPr>
              <w:numPr>
                <w:ilvl w:val="0"/>
                <w:numId w:val="1"/>
              </w:numPr>
              <w:spacing w:after="151" w:line="242" w:lineRule="auto"/>
            </w:pPr>
            <w:r>
              <w:rPr>
                <w:rFonts w:ascii="Calibri" w:eastAsia="Calibri" w:hAnsi="Calibri" w:cs="Calibri"/>
              </w:rPr>
              <w:t>The Seller reserves the Sale Property for the Buyer at the Sale Price until the Reservation Expiry Date, but either party may cancel this reservation on or before the Reservation Expiry Date by its Conveyancer giving written notice to the other party’s Conveyancer</w:t>
            </w:r>
            <w:r w:rsidR="00DD0FEB">
              <w:rPr>
                <w:rFonts w:ascii="Calibri" w:eastAsia="Calibri" w:hAnsi="Calibri" w:cs="Calibri"/>
              </w:rPr>
              <w:t xml:space="preserve">. </w:t>
            </w:r>
          </w:p>
          <w:p w14:paraId="00000120" w14:textId="77777777" w:rsidR="006E4CBF" w:rsidRDefault="00F24F9B">
            <w:pPr>
              <w:numPr>
                <w:ilvl w:val="0"/>
                <w:numId w:val="1"/>
              </w:numPr>
              <w:spacing w:after="132" w:line="259" w:lineRule="auto"/>
            </w:pPr>
            <w:r>
              <w:rPr>
                <w:rFonts w:ascii="Calibri" w:eastAsia="Calibri" w:hAnsi="Calibri" w:cs="Calibri"/>
              </w:rPr>
              <w:t xml:space="preserve">From now until the reservation ends: </w:t>
            </w:r>
          </w:p>
          <w:p w14:paraId="00000121" w14:textId="77777777" w:rsidR="006E4CBF" w:rsidRDefault="00F24F9B">
            <w:pPr>
              <w:numPr>
                <w:ilvl w:val="1"/>
                <w:numId w:val="1"/>
              </w:numPr>
              <w:spacing w:after="154"/>
              <w:ind w:hanging="360"/>
            </w:pPr>
            <w:r>
              <w:rPr>
                <w:rFonts w:ascii="Calibri" w:eastAsia="Calibri" w:hAnsi="Calibri" w:cs="Calibri"/>
              </w:rPr>
              <w:t xml:space="preserve">the Seller is to stop all marketing of the Property and on enquiry must advise any other potential buyers that the Property has been sold subject to contract, </w:t>
            </w:r>
          </w:p>
          <w:p w14:paraId="00000122" w14:textId="77777777" w:rsidR="006E4CBF" w:rsidRDefault="00F24F9B">
            <w:pPr>
              <w:numPr>
                <w:ilvl w:val="1"/>
                <w:numId w:val="1"/>
              </w:numPr>
              <w:spacing w:after="132" w:line="259" w:lineRule="auto"/>
              <w:ind w:hanging="360"/>
            </w:pPr>
            <w:r>
              <w:rPr>
                <w:rFonts w:ascii="Calibri" w:eastAsia="Calibri" w:hAnsi="Calibri" w:cs="Calibri"/>
              </w:rPr>
              <w:t xml:space="preserve">the Buyer is to make and pursue any necessary mortgage application and valuation, and </w:t>
            </w:r>
          </w:p>
          <w:p w14:paraId="00000123" w14:textId="0424CA4F" w:rsidR="006E4CBF" w:rsidRDefault="00F24F9B">
            <w:pPr>
              <w:numPr>
                <w:ilvl w:val="1"/>
                <w:numId w:val="1"/>
              </w:numPr>
              <w:spacing w:after="136" w:line="259" w:lineRule="auto"/>
              <w:ind w:hanging="360"/>
            </w:pPr>
            <w:r>
              <w:rPr>
                <w:rFonts w:ascii="Calibri" w:eastAsia="Calibri" w:hAnsi="Calibri" w:cs="Calibri"/>
              </w:rPr>
              <w:t>both parties are to progress the normal conveyancing process through their Conveyancers</w:t>
            </w:r>
            <w:r w:rsidR="00DD0FEB">
              <w:rPr>
                <w:rFonts w:ascii="Calibri" w:eastAsia="Calibri" w:hAnsi="Calibri" w:cs="Calibri"/>
              </w:rPr>
              <w:t xml:space="preserve">. </w:t>
            </w:r>
          </w:p>
          <w:p w14:paraId="00000124" w14:textId="77777777" w:rsidR="006E4CBF" w:rsidRDefault="00F24F9B">
            <w:pPr>
              <w:numPr>
                <w:ilvl w:val="0"/>
                <w:numId w:val="1"/>
              </w:numPr>
              <w:spacing w:after="154"/>
            </w:pPr>
            <w:r>
              <w:rPr>
                <w:rFonts w:ascii="Calibri" w:eastAsia="Calibri" w:hAnsi="Calibri" w:cs="Calibri"/>
              </w:rPr>
              <w:t xml:space="preserve">If a party cancels this reservation or is not ready, willing and able on or before the Reservation Expiry Date (time being of the essence) to exchange contracts for the sale and purchase of the Sale Property at the Sale Price then, except where condition 6 applies, the Selling Agent is irrevocably authorised to pay the defaulting party's Reservation Deposit to the other party and to repay that other party his own Reservation Deposit.   </w:t>
            </w:r>
          </w:p>
          <w:p w14:paraId="00000125" w14:textId="35E61E62" w:rsidR="006E4CBF" w:rsidRDefault="00F24F9B">
            <w:pPr>
              <w:numPr>
                <w:ilvl w:val="0"/>
                <w:numId w:val="1"/>
              </w:numPr>
              <w:spacing w:after="158"/>
            </w:pPr>
            <w:r>
              <w:rPr>
                <w:rFonts w:ascii="Calibri" w:eastAsia="Calibri" w:hAnsi="Calibri" w:cs="Calibri"/>
              </w:rPr>
              <w:t>Unless the parties agree to a different completion date, a party will be treated as unwilling to exchange contracts if he refuses to agree that the completion date will be a date not later than 20 working days after exchange or a date set in accordance with any Additional Provisions</w:t>
            </w:r>
            <w:r w:rsidR="00DD0FEB">
              <w:rPr>
                <w:rFonts w:ascii="Calibri" w:eastAsia="Calibri" w:hAnsi="Calibri" w:cs="Calibri"/>
              </w:rPr>
              <w:t xml:space="preserve">. </w:t>
            </w:r>
          </w:p>
          <w:p w14:paraId="00000126" w14:textId="77777777" w:rsidR="006E4CBF" w:rsidRDefault="00F24F9B">
            <w:pPr>
              <w:numPr>
                <w:ilvl w:val="0"/>
                <w:numId w:val="1"/>
              </w:numPr>
              <w:spacing w:after="98" w:line="259" w:lineRule="auto"/>
            </w:pPr>
            <w:r>
              <w:rPr>
                <w:rFonts w:ascii="Calibri" w:eastAsia="Calibri" w:hAnsi="Calibri" w:cs="Calibri"/>
              </w:rPr>
              <w:t xml:space="preserve">The Reservation Deposits are to be repaid to the parties who paid them if: </w:t>
            </w:r>
          </w:p>
          <w:p w14:paraId="00000127" w14:textId="77777777" w:rsidR="006E4CBF" w:rsidRDefault="00F24F9B">
            <w:pPr>
              <w:numPr>
                <w:ilvl w:val="1"/>
                <w:numId w:val="1"/>
              </w:numPr>
              <w:spacing w:after="98" w:line="259" w:lineRule="auto"/>
              <w:ind w:hanging="360"/>
            </w:pPr>
            <w:r>
              <w:rPr>
                <w:rFonts w:ascii="Calibri" w:eastAsia="Calibri" w:hAnsi="Calibri" w:cs="Calibri"/>
              </w:rPr>
              <w:t xml:space="preserve">both parties or their Conveyancers agree in writing to cancel the reservation; or </w:t>
            </w:r>
          </w:p>
          <w:p w14:paraId="00000128" w14:textId="77777777" w:rsidR="006E4CBF" w:rsidRDefault="00F24F9B">
            <w:pPr>
              <w:numPr>
                <w:ilvl w:val="1"/>
                <w:numId w:val="1"/>
              </w:numPr>
              <w:spacing w:after="154"/>
              <w:ind w:hanging="360"/>
            </w:pPr>
            <w:r>
              <w:rPr>
                <w:rFonts w:ascii="Calibri" w:eastAsia="Calibri" w:hAnsi="Calibri" w:cs="Calibri"/>
              </w:rPr>
              <w:t xml:space="preserve">the Buyer’s Conveyancer gives the Seller’s Conveyancer written notice on or before the Reservation Expiry Date that the Buyer is cancelling the reservation or is unwilling to exchange contracts on (in either case) any of the following grounds:   </w:t>
            </w:r>
          </w:p>
          <w:p w14:paraId="00000129" w14:textId="77777777" w:rsidR="006E4CBF" w:rsidRDefault="00F24F9B">
            <w:pPr>
              <w:numPr>
                <w:ilvl w:val="0"/>
                <w:numId w:val="4"/>
              </w:num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Buyer's Conveyancer's cannot issue a clear certificate on title for the Sale Property due to the Seller failing to progress the normal conveyancing process or the Sale Property being affected by an adverse matter that cannot reasonably be covered by insurance;  </w:t>
            </w:r>
          </w:p>
          <w:p w14:paraId="0000012A" w14:textId="77777777" w:rsidR="006E4CBF" w:rsidRDefault="006E4CBF"/>
          <w:p w14:paraId="0000012B" w14:textId="77777777" w:rsidR="006E4CBF" w:rsidRDefault="00F24F9B">
            <w:pPr>
              <w:numPr>
                <w:ilvl w:val="0"/>
                <w:numId w:val="2"/>
              </w:numPr>
              <w:spacing w:after="152" w:line="241" w:lineRule="auto"/>
              <w:ind w:hanging="453"/>
            </w:pPr>
            <w:r>
              <w:rPr>
                <w:rFonts w:ascii="Calibri" w:eastAsia="Calibri" w:hAnsi="Calibri" w:cs="Calibri"/>
              </w:rPr>
              <w:t xml:space="preserve">the Buyer's Conveyancer has not by then received the results of relevant enquiries or usual searches, unless due to the failure of the Buyer or his Conveyancer to act promptly in the conveyancing process; </w:t>
            </w:r>
          </w:p>
          <w:p w14:paraId="0000012C" w14:textId="77777777" w:rsidR="006E4CBF" w:rsidRDefault="00F24F9B">
            <w:pPr>
              <w:numPr>
                <w:ilvl w:val="0"/>
                <w:numId w:val="2"/>
              </w:numPr>
              <w:spacing w:after="162" w:line="245" w:lineRule="auto"/>
              <w:ind w:hanging="453"/>
            </w:pPr>
            <w:r>
              <w:rPr>
                <w:rFonts w:ascii="Calibri" w:eastAsia="Calibri" w:hAnsi="Calibri" w:cs="Calibri"/>
              </w:rPr>
              <w:t>[the Buyer's mortgage application is refused [for any reason]  [because the Sale Property has been valued for mortgage purposes at below the Sale Price];]</w:t>
            </w:r>
            <w:r>
              <w:rPr>
                <w:rFonts w:ascii="Calibri" w:eastAsia="Calibri" w:hAnsi="Calibri" w:cs="Calibri"/>
                <w:vertAlign w:val="superscript"/>
              </w:rPr>
              <w:footnoteReference w:id="4"/>
            </w:r>
            <w:r>
              <w:rPr>
                <w:rFonts w:ascii="Calibri" w:eastAsia="Calibri" w:hAnsi="Calibri" w:cs="Calibri"/>
              </w:rPr>
              <w:t xml:space="preserve">     </w:t>
            </w:r>
          </w:p>
        </w:tc>
      </w:tr>
      <w:tr w:rsidR="006E4CBF" w14:paraId="01A8EE49" w14:textId="77777777" w:rsidTr="00ED672A">
        <w:trPr>
          <w:trHeight w:val="12286"/>
        </w:trPr>
        <w:tc>
          <w:tcPr>
            <w:tcW w:w="117" w:type="dxa"/>
            <w:tcMar>
              <w:left w:w="24" w:type="dxa"/>
              <w:right w:w="73" w:type="dxa"/>
            </w:tcMar>
          </w:tcPr>
          <w:p w14:paraId="0000012F" w14:textId="77777777" w:rsidR="006E4CBF" w:rsidRDefault="006E4CBF">
            <w:pPr>
              <w:widowControl w:val="0"/>
              <w:pBdr>
                <w:top w:val="nil"/>
                <w:left w:val="nil"/>
                <w:bottom w:val="nil"/>
                <w:right w:val="nil"/>
                <w:between w:val="nil"/>
              </w:pBdr>
              <w:spacing w:line="276" w:lineRule="auto"/>
            </w:pPr>
          </w:p>
        </w:tc>
        <w:tc>
          <w:tcPr>
            <w:tcW w:w="8663" w:type="dxa"/>
            <w:gridSpan w:val="2"/>
            <w:tcBorders>
              <w:top w:val="single" w:sz="4" w:space="0" w:color="7030A0"/>
              <w:left w:val="single" w:sz="4" w:space="0" w:color="7030A0"/>
              <w:bottom w:val="single" w:sz="4" w:space="0" w:color="7030A0"/>
              <w:right w:val="single" w:sz="4" w:space="0" w:color="7030A0"/>
            </w:tcBorders>
            <w:tcMar>
              <w:left w:w="24" w:type="dxa"/>
              <w:right w:w="73" w:type="dxa"/>
            </w:tcMar>
          </w:tcPr>
          <w:p w14:paraId="00000130" w14:textId="77777777" w:rsidR="006E4CBF" w:rsidRDefault="00F24F9B">
            <w:pPr>
              <w:numPr>
                <w:ilvl w:val="0"/>
                <w:numId w:val="2"/>
              </w:numPr>
              <w:pBdr>
                <w:top w:val="nil"/>
                <w:left w:val="nil"/>
                <w:bottom w:val="nil"/>
                <w:right w:val="nil"/>
                <w:between w:val="nil"/>
              </w:pBdr>
              <w:spacing w:after="120" w:line="246" w:lineRule="auto"/>
              <w:ind w:left="794" w:firstLine="0"/>
            </w:pPr>
            <w:r>
              <w:rPr>
                <w:rFonts w:ascii="Calibri" w:eastAsia="Calibri" w:hAnsi="Calibri" w:cs="Calibri"/>
                <w:color w:val="000000"/>
                <w:sz w:val="22"/>
                <w:szCs w:val="22"/>
              </w:rPr>
              <w:t>[a professional survey report states that the Sale Property is affected by structural or geophysical defects and an independent contractor has given a quotation for rectifying them at a cost (including VAT) exceeding [ 1 % ] of the Sale Price;]</w:t>
            </w:r>
            <w:r>
              <w:rPr>
                <w:color w:val="000000"/>
                <w:sz w:val="22"/>
                <w:szCs w:val="22"/>
                <w:vertAlign w:val="superscript"/>
              </w:rPr>
              <w:footnoteReference w:id="5"/>
            </w:r>
            <w:r>
              <w:rPr>
                <w:rFonts w:ascii="Calibri" w:eastAsia="Calibri" w:hAnsi="Calibri" w:cs="Calibri"/>
                <w:color w:val="000000"/>
                <w:sz w:val="22"/>
                <w:szCs w:val="22"/>
              </w:rPr>
              <w:t xml:space="preserve"> </w:t>
            </w:r>
          </w:p>
          <w:p w14:paraId="00000131" w14:textId="77777777" w:rsidR="006E4CBF" w:rsidRDefault="00F24F9B">
            <w:pPr>
              <w:numPr>
                <w:ilvl w:val="0"/>
                <w:numId w:val="2"/>
              </w:numPr>
              <w:spacing w:after="126" w:line="270" w:lineRule="auto"/>
              <w:ind w:hanging="453"/>
            </w:pPr>
            <w:r>
              <w:rPr>
                <w:rFonts w:ascii="Calibri" w:eastAsia="Calibri" w:hAnsi="Calibri" w:cs="Calibri"/>
              </w:rPr>
              <w:t xml:space="preserve">[there  are planning restrictions, title covenants or adverse rights that would prevent any of  the following at the Sale Property:   </w:t>
            </w:r>
            <w:r>
              <w:rPr>
                <w:rFonts w:ascii="Calibri" w:eastAsia="Calibri" w:hAnsi="Calibri" w:cs="Calibri"/>
                <w:i/>
                <w:iCs/>
                <w:sz w:val="16"/>
                <w:szCs w:val="16"/>
              </w:rPr>
              <w:t>[insert any special proposed use or works]</w:t>
            </w:r>
            <w:r>
              <w:rPr>
                <w:rFonts w:ascii="Calibri" w:eastAsia="Calibri" w:hAnsi="Calibri" w:cs="Calibri"/>
              </w:rPr>
              <w:t xml:space="preserve">  ;]</w:t>
            </w:r>
            <w:r>
              <w:rPr>
                <w:rFonts w:ascii="Calibri" w:eastAsia="Calibri" w:hAnsi="Calibri" w:cs="Calibri"/>
                <w:vertAlign w:val="superscript"/>
              </w:rPr>
              <w:footnoteReference w:id="6"/>
            </w:r>
            <w:r>
              <w:rPr>
                <w:rFonts w:ascii="Calibri" w:eastAsia="Calibri" w:hAnsi="Calibri" w:cs="Calibri"/>
              </w:rPr>
              <w:t xml:space="preserve"> </w:t>
            </w:r>
          </w:p>
          <w:p w14:paraId="00000132" w14:textId="77777777" w:rsidR="006E4CBF" w:rsidRDefault="00F24F9B">
            <w:pPr>
              <w:numPr>
                <w:ilvl w:val="0"/>
                <w:numId w:val="2"/>
              </w:numPr>
              <w:spacing w:after="139" w:line="259" w:lineRule="auto"/>
              <w:ind w:hanging="453"/>
            </w:pPr>
            <w:r>
              <w:rPr>
                <w:rFonts w:ascii="Calibri" w:eastAsia="Calibri" w:hAnsi="Calibri" w:cs="Calibri"/>
              </w:rPr>
              <w:t xml:space="preserve">[the Buyer cannot exchange contracts to sell his current home;] </w:t>
            </w:r>
            <w:r>
              <w:rPr>
                <w:rFonts w:ascii="Calibri" w:eastAsia="Calibri" w:hAnsi="Calibri" w:cs="Calibri"/>
                <w:vertAlign w:val="superscript"/>
              </w:rPr>
              <w:footnoteReference w:id="7"/>
            </w:r>
            <w:r>
              <w:rPr>
                <w:rFonts w:ascii="Calibri" w:eastAsia="Calibri" w:hAnsi="Calibri" w:cs="Calibri"/>
              </w:rPr>
              <w:t xml:space="preserve"> </w:t>
            </w:r>
          </w:p>
          <w:p w14:paraId="00000133" w14:textId="77777777" w:rsidR="006E4CBF" w:rsidRDefault="00F24F9B">
            <w:pPr>
              <w:spacing w:after="176" w:line="241" w:lineRule="auto"/>
              <w:ind w:left="760" w:hanging="360"/>
            </w:pPr>
            <w:r>
              <w:rPr>
                <w:rFonts w:ascii="Calibri" w:eastAsia="Calibri" w:hAnsi="Calibri" w:cs="Calibri"/>
              </w:rPr>
              <w:t>(3)</w:t>
            </w:r>
            <w:r>
              <w:rPr>
                <w:rFonts w:ascii="Arial" w:eastAsia="Arial" w:hAnsi="Arial" w:cs="Arial"/>
              </w:rPr>
              <w:t xml:space="preserve"> </w:t>
            </w:r>
            <w:r>
              <w:rPr>
                <w:rFonts w:ascii="Calibri" w:eastAsia="Calibri" w:hAnsi="Calibri" w:cs="Calibri"/>
              </w:rPr>
              <w:t xml:space="preserve">[the Seller’s Conveyancer gives the Buyer’s Conveyancer written notice on or before the Reservation Expiry Date that the Seller is cancelling the reservation or is unwilling to exchange contracts on (in either case) the ground that he is unable to exchange contracts to buy a replacement home.] </w:t>
            </w:r>
            <w:r>
              <w:rPr>
                <w:rFonts w:ascii="Calibri" w:eastAsia="Calibri" w:hAnsi="Calibri" w:cs="Calibri"/>
                <w:vertAlign w:val="superscript"/>
              </w:rPr>
              <w:t>5</w:t>
            </w:r>
            <w:r>
              <w:rPr>
                <w:rFonts w:ascii="Calibri" w:eastAsia="Calibri" w:hAnsi="Calibri" w:cs="Calibri"/>
              </w:rPr>
              <w:t xml:space="preserve"> </w:t>
            </w:r>
          </w:p>
          <w:p w14:paraId="00000134" w14:textId="00151C6C" w:rsidR="006E4CBF" w:rsidRDefault="00F24F9B">
            <w:pPr>
              <w:numPr>
                <w:ilvl w:val="0"/>
                <w:numId w:val="3"/>
              </w:numPr>
              <w:spacing w:after="154"/>
              <w:ind w:hanging="400"/>
            </w:pPr>
            <w:r>
              <w:rPr>
                <w:rFonts w:ascii="Calibri" w:eastAsia="Calibri" w:hAnsi="Calibri" w:cs="Calibri"/>
              </w:rPr>
              <w:t>A notice given under clause 6 must be accompanied by reasonable evidence that the relevant ground applies</w:t>
            </w:r>
            <w:r w:rsidR="00DD0FEB">
              <w:rPr>
                <w:rFonts w:ascii="Calibri" w:eastAsia="Calibri" w:hAnsi="Calibri" w:cs="Calibri"/>
              </w:rPr>
              <w:t xml:space="preserve">. </w:t>
            </w:r>
          </w:p>
          <w:p w14:paraId="00000135" w14:textId="4759DFA5" w:rsidR="006E4CBF" w:rsidRDefault="00F24F9B">
            <w:pPr>
              <w:numPr>
                <w:ilvl w:val="0"/>
                <w:numId w:val="3"/>
              </w:numPr>
              <w:spacing w:after="154"/>
              <w:ind w:hanging="400"/>
            </w:pPr>
            <w:r>
              <w:rPr>
                <w:rFonts w:ascii="Calibri" w:eastAsia="Calibri" w:hAnsi="Calibri" w:cs="Calibri"/>
              </w:rPr>
              <w:t>Any dispute about the application of clause 6 or an Additional Provision is to be referred by either party to [_____________________] who will act as an expert (not as an arbitrator) and whose decision (which may include ordering the payment or repayment of any Reservation Deposit) will be final</w:t>
            </w:r>
            <w:r w:rsidR="00DD0FEB">
              <w:rPr>
                <w:rFonts w:ascii="Calibri" w:eastAsia="Calibri" w:hAnsi="Calibri" w:cs="Calibri"/>
              </w:rPr>
              <w:t xml:space="preserve">. </w:t>
            </w:r>
          </w:p>
          <w:p w14:paraId="00000136" w14:textId="77777777" w:rsidR="006E4CBF" w:rsidRDefault="00F24F9B">
            <w:pPr>
              <w:numPr>
                <w:ilvl w:val="0"/>
                <w:numId w:val="3"/>
              </w:numPr>
              <w:spacing w:after="153"/>
              <w:ind w:hanging="400"/>
            </w:pPr>
            <w:r>
              <w:rPr>
                <w:rFonts w:ascii="Calibri" w:eastAsia="Calibri" w:hAnsi="Calibri" w:cs="Calibri"/>
              </w:rPr>
              <w:t xml:space="preserve">The Reservation Deposits are to be paid or repaid within five working days after the Reservation Expiry Date or earlier cancellation of the reservation except where the Selling Agent is notified about a dispute within clause 8 before he pays or repays a Reservation Deposit, in which case the payment is to be deferred until five working days after the Selling Agent receives written evidence of the outcome of the dispute. </w:t>
            </w:r>
          </w:p>
          <w:p w14:paraId="00000137" w14:textId="77777777" w:rsidR="006E4CBF" w:rsidRDefault="00F24F9B">
            <w:pPr>
              <w:numPr>
                <w:ilvl w:val="0"/>
                <w:numId w:val="3"/>
              </w:numPr>
              <w:spacing w:after="154"/>
              <w:ind w:hanging="400"/>
            </w:pPr>
            <w:r>
              <w:rPr>
                <w:rFonts w:ascii="Calibri" w:eastAsia="Calibri" w:hAnsi="Calibri" w:cs="Calibri"/>
              </w:rPr>
              <w:t xml:space="preserve">Where condition 6 applies, the parties may if they wish enter into a new Reservation Agreement with an amended Sale Price and/or Reservation Expiry Date replacing this agreement and the Reservation Deposits shall then be held under the terms of that new agreement. </w:t>
            </w:r>
          </w:p>
          <w:p w14:paraId="00000138" w14:textId="77777777" w:rsidR="006E4CBF" w:rsidRDefault="00F24F9B">
            <w:pPr>
              <w:numPr>
                <w:ilvl w:val="0"/>
                <w:numId w:val="3"/>
              </w:numPr>
              <w:spacing w:after="152" w:line="241" w:lineRule="auto"/>
              <w:ind w:hanging="400"/>
            </w:pPr>
            <w:r>
              <w:rPr>
                <w:rFonts w:ascii="Calibri" w:eastAsia="Calibri" w:hAnsi="Calibri" w:cs="Calibri"/>
              </w:rPr>
              <w:t xml:space="preserve">If the parties exchange contracts, the Buyer’s Reservation Deposit is to be applied as part payment of the deposit due on that exchange of contracts and the Seller’s Reservation Deposit is to continue to be held by the Selling Agent and applied on completion towards the sale commission. </w:t>
            </w:r>
          </w:p>
          <w:p w14:paraId="00000139" w14:textId="44D96412" w:rsidR="006E4CBF" w:rsidRDefault="00F24F9B">
            <w:pPr>
              <w:numPr>
                <w:ilvl w:val="0"/>
                <w:numId w:val="3"/>
              </w:numPr>
              <w:spacing w:after="154"/>
              <w:ind w:hanging="400"/>
            </w:pPr>
            <w:r>
              <w:rPr>
                <w:rFonts w:ascii="Calibri" w:eastAsia="Calibri" w:hAnsi="Calibri" w:cs="Calibri"/>
              </w:rPr>
              <w:t>A notice to any party may be given to his Conveyancer on his behalf</w:t>
            </w:r>
            <w:r w:rsidR="00DD0FEB">
              <w:rPr>
                <w:rFonts w:ascii="Calibri" w:eastAsia="Calibri" w:hAnsi="Calibri" w:cs="Calibri"/>
              </w:rPr>
              <w:t xml:space="preserve">. </w:t>
            </w:r>
            <w:r>
              <w:rPr>
                <w:rFonts w:ascii="Calibri" w:eastAsia="Calibri" w:hAnsi="Calibri" w:cs="Calibri"/>
              </w:rPr>
              <w:t>Anything required to be in writing may be in electronic form</w:t>
            </w:r>
            <w:r w:rsidR="00DD0FEB">
              <w:rPr>
                <w:rFonts w:ascii="Calibri" w:eastAsia="Calibri" w:hAnsi="Calibri" w:cs="Calibri"/>
              </w:rPr>
              <w:t xml:space="preserve">. </w:t>
            </w:r>
          </w:p>
          <w:p w14:paraId="0000013A" w14:textId="77777777" w:rsidR="006E4CBF" w:rsidRDefault="00F24F9B">
            <w:pPr>
              <w:numPr>
                <w:ilvl w:val="0"/>
                <w:numId w:val="3"/>
              </w:numPr>
              <w:spacing w:after="154"/>
              <w:ind w:hanging="400"/>
            </w:pPr>
            <w:r>
              <w:rPr>
                <w:rFonts w:ascii="Calibri" w:eastAsia="Calibri" w:hAnsi="Calibri" w:cs="Calibri"/>
              </w:rPr>
              <w:t xml:space="preserve">The parties are responsible for their own costs and expenses incurred in connection with the sale or purchase of the Sale Property, unless otherwise stated in the Additional Provisions. </w:t>
            </w:r>
          </w:p>
          <w:p w14:paraId="0000013B" w14:textId="66075230" w:rsidR="006E4CBF" w:rsidRDefault="00F24F9B">
            <w:pPr>
              <w:numPr>
                <w:ilvl w:val="0"/>
                <w:numId w:val="3"/>
              </w:numPr>
              <w:spacing w:after="158"/>
              <w:ind w:hanging="400"/>
            </w:pPr>
            <w:r>
              <w:rPr>
                <w:rFonts w:ascii="Calibri" w:eastAsia="Calibri" w:hAnsi="Calibri" w:cs="Calibri"/>
              </w:rPr>
              <w:t>This agreement is not a contract for the sale and purchase of the Sale Property and will not form part of one</w:t>
            </w:r>
            <w:r w:rsidR="00DD0FEB">
              <w:rPr>
                <w:rFonts w:ascii="Calibri" w:eastAsia="Calibri" w:hAnsi="Calibri" w:cs="Calibri"/>
              </w:rPr>
              <w:t xml:space="preserve">. </w:t>
            </w:r>
          </w:p>
          <w:p w14:paraId="0000013C" w14:textId="77777777" w:rsidR="006E4CBF" w:rsidRDefault="00F24F9B">
            <w:pPr>
              <w:numPr>
                <w:ilvl w:val="0"/>
                <w:numId w:val="3"/>
              </w:numPr>
              <w:spacing w:line="259" w:lineRule="auto"/>
              <w:ind w:hanging="400"/>
            </w:pPr>
            <w:r>
              <w:rPr>
                <w:rFonts w:ascii="Calibri" w:eastAsia="Calibri" w:hAnsi="Calibri" w:cs="Calibri"/>
              </w:rPr>
              <w:t xml:space="preserve">The Additional Provisions (if any) will prevail over the Standard Reservation Conditions in the event of conflict. </w:t>
            </w:r>
          </w:p>
        </w:tc>
      </w:tr>
      <w:tr w:rsidR="006E4CBF" w14:paraId="48CA0624" w14:textId="77777777" w:rsidTr="00ED672A">
        <w:trPr>
          <w:trHeight w:val="280"/>
        </w:trPr>
        <w:tc>
          <w:tcPr>
            <w:tcW w:w="117" w:type="dxa"/>
            <w:tcMar>
              <w:left w:w="24" w:type="dxa"/>
              <w:right w:w="73" w:type="dxa"/>
            </w:tcMar>
          </w:tcPr>
          <w:p w14:paraId="0000013E" w14:textId="77777777" w:rsidR="006E4CBF" w:rsidRDefault="006E4CBF">
            <w:pPr>
              <w:widowControl w:val="0"/>
              <w:pBdr>
                <w:top w:val="nil"/>
                <w:left w:val="nil"/>
                <w:bottom w:val="nil"/>
                <w:right w:val="nil"/>
                <w:between w:val="nil"/>
              </w:pBdr>
              <w:spacing w:line="276" w:lineRule="auto"/>
            </w:pPr>
          </w:p>
        </w:tc>
        <w:tc>
          <w:tcPr>
            <w:tcW w:w="8663" w:type="dxa"/>
            <w:gridSpan w:val="2"/>
            <w:tcBorders>
              <w:top w:val="single" w:sz="4" w:space="0" w:color="7030A0"/>
              <w:left w:val="single" w:sz="4" w:space="0" w:color="7030A0"/>
              <w:bottom w:val="single" w:sz="4" w:space="0" w:color="7030A0"/>
              <w:right w:val="single" w:sz="4" w:space="0" w:color="7030A0"/>
            </w:tcBorders>
            <w:tcMar>
              <w:left w:w="24" w:type="dxa"/>
              <w:right w:w="73" w:type="dxa"/>
            </w:tcMar>
          </w:tcPr>
          <w:p w14:paraId="0000013F" w14:textId="77777777" w:rsidR="006E4CBF" w:rsidRDefault="006E4CBF"/>
        </w:tc>
      </w:tr>
      <w:tr w:rsidR="006E4CBF" w14:paraId="095A5F96" w14:textId="77777777" w:rsidTr="00ED672A">
        <w:trPr>
          <w:trHeight w:val="276"/>
        </w:trPr>
        <w:tc>
          <w:tcPr>
            <w:tcW w:w="117" w:type="dxa"/>
            <w:tcMar>
              <w:left w:w="24" w:type="dxa"/>
              <w:right w:w="73" w:type="dxa"/>
            </w:tcMar>
          </w:tcPr>
          <w:p w14:paraId="00000141" w14:textId="77777777" w:rsidR="006E4CBF" w:rsidRDefault="006E4CBF">
            <w:pPr>
              <w:widowControl w:val="0"/>
              <w:pBdr>
                <w:top w:val="nil"/>
                <w:left w:val="nil"/>
                <w:bottom w:val="nil"/>
                <w:right w:val="nil"/>
                <w:between w:val="nil"/>
              </w:pBdr>
              <w:spacing w:line="276" w:lineRule="auto"/>
            </w:pPr>
          </w:p>
        </w:tc>
        <w:tc>
          <w:tcPr>
            <w:tcW w:w="8663" w:type="dxa"/>
            <w:gridSpan w:val="2"/>
            <w:tcBorders>
              <w:top w:val="single" w:sz="4" w:space="0" w:color="7030A0"/>
              <w:left w:val="single" w:sz="4" w:space="0" w:color="7030A0"/>
              <w:bottom w:val="single" w:sz="4" w:space="0" w:color="7030A0"/>
              <w:right w:val="single" w:sz="4" w:space="0" w:color="7030A0"/>
            </w:tcBorders>
            <w:tcMar>
              <w:left w:w="24" w:type="dxa"/>
              <w:right w:w="73" w:type="dxa"/>
            </w:tcMar>
          </w:tcPr>
          <w:p w14:paraId="00000142" w14:textId="77777777" w:rsidR="006E4CBF" w:rsidRDefault="00F24F9B">
            <w:pPr>
              <w:ind w:left="48"/>
              <w:jc w:val="center"/>
            </w:pPr>
            <w:r>
              <w:rPr>
                <w:rFonts w:ascii="Calibri" w:eastAsia="Calibri" w:hAnsi="Calibri" w:cs="Calibri"/>
                <w:b/>
                <w:bCs/>
              </w:rPr>
              <w:t xml:space="preserve">ADDITIONAL PROVISIONS  </w:t>
            </w:r>
          </w:p>
        </w:tc>
      </w:tr>
      <w:tr w:rsidR="006E4CBF" w14:paraId="6B11A786" w14:textId="77777777" w:rsidTr="00ED672A">
        <w:trPr>
          <w:trHeight w:val="1892"/>
        </w:trPr>
        <w:tc>
          <w:tcPr>
            <w:tcW w:w="117" w:type="dxa"/>
            <w:tcMar>
              <w:left w:w="24" w:type="dxa"/>
              <w:right w:w="73" w:type="dxa"/>
            </w:tcMar>
          </w:tcPr>
          <w:p w14:paraId="00000144" w14:textId="77777777" w:rsidR="006E4CBF" w:rsidRDefault="006E4CBF">
            <w:pPr>
              <w:widowControl w:val="0"/>
              <w:pBdr>
                <w:top w:val="nil"/>
                <w:left w:val="nil"/>
                <w:bottom w:val="nil"/>
                <w:right w:val="nil"/>
                <w:between w:val="nil"/>
              </w:pBdr>
              <w:spacing w:line="276" w:lineRule="auto"/>
            </w:pPr>
          </w:p>
        </w:tc>
        <w:tc>
          <w:tcPr>
            <w:tcW w:w="8663" w:type="dxa"/>
            <w:gridSpan w:val="2"/>
            <w:tcBorders>
              <w:top w:val="single" w:sz="4" w:space="0" w:color="7030A0"/>
              <w:left w:val="single" w:sz="4" w:space="0" w:color="7030A0"/>
              <w:bottom w:val="single" w:sz="4" w:space="0" w:color="7030A0"/>
              <w:right w:val="single" w:sz="4" w:space="0" w:color="7030A0"/>
            </w:tcBorders>
            <w:tcMar>
              <w:left w:w="24" w:type="dxa"/>
              <w:right w:w="73" w:type="dxa"/>
            </w:tcMar>
          </w:tcPr>
          <w:p w14:paraId="00000145" w14:textId="77777777" w:rsidR="006E4CBF" w:rsidRDefault="00F24F9B">
            <w:pPr>
              <w:ind w:left="44"/>
            </w:pPr>
            <w:r>
              <w:rPr>
                <w:rFonts w:ascii="Calibri" w:eastAsia="Calibri" w:hAnsi="Calibri" w:cs="Calibri"/>
                <w:i/>
                <w:iCs/>
                <w:sz w:val="18"/>
                <w:szCs w:val="18"/>
              </w:rPr>
              <w:t>Insert any additional agreed provisions, such as about the completion date</w:t>
            </w:r>
            <w:r>
              <w:rPr>
                <w:rFonts w:ascii="Calibri" w:eastAsia="Calibri" w:hAnsi="Calibri" w:cs="Calibri"/>
              </w:rPr>
              <w:t>.</w:t>
            </w:r>
            <w:r>
              <w:rPr>
                <w:rFonts w:ascii="Calibri" w:eastAsia="Calibri" w:hAnsi="Calibri" w:cs="Calibri"/>
                <w:i/>
                <w:iCs/>
                <w:sz w:val="18"/>
                <w:szCs w:val="18"/>
              </w:rPr>
              <w:t xml:space="preserve"> </w:t>
            </w:r>
          </w:p>
          <w:p w14:paraId="00000146" w14:textId="77777777" w:rsidR="006E4CBF" w:rsidRDefault="00F24F9B">
            <w:pPr>
              <w:ind w:left="44"/>
            </w:pPr>
            <w:r>
              <w:rPr>
                <w:rFonts w:ascii="Calibri" w:eastAsia="Calibri" w:hAnsi="Calibri" w:cs="Calibri"/>
              </w:rPr>
              <w:t xml:space="preserve"> </w:t>
            </w:r>
          </w:p>
          <w:p w14:paraId="00000147" w14:textId="77777777" w:rsidR="006E4CBF" w:rsidRDefault="00F24F9B">
            <w:pPr>
              <w:ind w:left="44"/>
            </w:pPr>
            <w:r>
              <w:rPr>
                <w:rFonts w:ascii="Calibri" w:eastAsia="Calibri" w:hAnsi="Calibri" w:cs="Calibri"/>
              </w:rPr>
              <w:t xml:space="preserve"> </w:t>
            </w:r>
          </w:p>
          <w:p w14:paraId="00000148" w14:textId="77777777" w:rsidR="006E4CBF" w:rsidRDefault="00F24F9B">
            <w:pPr>
              <w:ind w:left="44"/>
            </w:pPr>
            <w:r>
              <w:rPr>
                <w:rFonts w:ascii="Calibri" w:eastAsia="Calibri" w:hAnsi="Calibri" w:cs="Calibri"/>
              </w:rPr>
              <w:t xml:space="preserve"> </w:t>
            </w:r>
          </w:p>
          <w:p w14:paraId="00000149" w14:textId="77777777" w:rsidR="006E4CBF" w:rsidRDefault="00F24F9B">
            <w:pPr>
              <w:ind w:left="44"/>
            </w:pPr>
            <w:r>
              <w:rPr>
                <w:rFonts w:ascii="Calibri" w:eastAsia="Calibri" w:hAnsi="Calibri" w:cs="Calibri"/>
              </w:rPr>
              <w:t xml:space="preserve"> </w:t>
            </w:r>
          </w:p>
          <w:p w14:paraId="0000014A" w14:textId="77777777" w:rsidR="006E4CBF" w:rsidRDefault="00F24F9B">
            <w:pPr>
              <w:ind w:left="44"/>
            </w:pPr>
            <w:r>
              <w:rPr>
                <w:rFonts w:ascii="Calibri" w:eastAsia="Calibri" w:hAnsi="Calibri" w:cs="Calibri"/>
              </w:rPr>
              <w:t xml:space="preserve"> </w:t>
            </w:r>
          </w:p>
          <w:p w14:paraId="0000014B" w14:textId="77777777" w:rsidR="006E4CBF" w:rsidRDefault="00F24F9B">
            <w:pPr>
              <w:ind w:left="44"/>
            </w:pPr>
            <w:r>
              <w:rPr>
                <w:rFonts w:ascii="Calibri" w:eastAsia="Calibri" w:hAnsi="Calibri" w:cs="Calibri"/>
              </w:rPr>
              <w:t xml:space="preserve"> </w:t>
            </w:r>
          </w:p>
        </w:tc>
      </w:tr>
    </w:tbl>
    <w:p w14:paraId="0000014D" w14:textId="77777777" w:rsidR="006E4CBF" w:rsidRDefault="00F24F9B">
      <w:pPr>
        <w:spacing w:after="162"/>
      </w:pPr>
      <w:r>
        <w:rPr>
          <w:rFonts w:ascii="Calibri" w:eastAsia="Calibri" w:hAnsi="Calibri" w:cs="Calibri"/>
          <w:b/>
          <w:bCs/>
          <w:i/>
          <w:iCs/>
        </w:rPr>
        <w:t xml:space="preserve"> </w:t>
      </w:r>
    </w:p>
    <w:p w14:paraId="0000014E" w14:textId="1E280100" w:rsidR="006E4CBF" w:rsidRDefault="00F24F9B">
      <w:pPr>
        <w:spacing w:after="164" w:line="257" w:lineRule="auto"/>
      </w:pPr>
      <w:r>
        <w:rPr>
          <w:rFonts w:ascii="Calibri" w:eastAsia="Calibri" w:hAnsi="Calibri" w:cs="Calibri"/>
          <w:b/>
          <w:bCs/>
          <w:i/>
          <w:iCs/>
          <w:u w:val="single"/>
        </w:rPr>
        <w:t>WARNING</w:t>
      </w:r>
      <w:r>
        <w:rPr>
          <w:rFonts w:ascii="Calibri" w:eastAsia="Calibri" w:hAnsi="Calibri" w:cs="Calibri"/>
          <w:b/>
          <w:bCs/>
          <w:i/>
          <w:iCs/>
        </w:rPr>
        <w:t>:  THIS IS A LEGAL AGREEMENT UNDER WHICH YOU MAY LOSE YOUR RESERVATION DEPOSIT</w:t>
      </w:r>
      <w:r w:rsidR="00DD0FEB">
        <w:rPr>
          <w:rFonts w:ascii="Calibri" w:eastAsia="Calibri" w:hAnsi="Calibri" w:cs="Calibri"/>
          <w:b/>
          <w:bCs/>
          <w:i/>
          <w:iCs/>
        </w:rPr>
        <w:t xml:space="preserve">. </w:t>
      </w:r>
      <w:r>
        <w:rPr>
          <w:rFonts w:ascii="Calibri" w:eastAsia="Calibri" w:hAnsi="Calibri" w:cs="Calibri"/>
          <w:b/>
          <w:bCs/>
          <w:i/>
          <w:iCs/>
        </w:rPr>
        <w:t xml:space="preserve">YOU SHOULD TAKE LEGAL ADVICE BEFORE SIGNING </w:t>
      </w:r>
      <w:r w:rsidR="00DD0FEB">
        <w:rPr>
          <w:rFonts w:ascii="Calibri" w:eastAsia="Calibri" w:hAnsi="Calibri" w:cs="Calibri"/>
          <w:b/>
          <w:bCs/>
          <w:i/>
          <w:iCs/>
        </w:rPr>
        <w:t xml:space="preserve">IT. </w:t>
      </w:r>
    </w:p>
    <w:p w14:paraId="0000014F" w14:textId="77777777" w:rsidR="006E4CBF" w:rsidRDefault="00F24F9B">
      <w:pPr>
        <w:spacing w:after="158"/>
        <w:ind w:left="144"/>
      </w:pPr>
      <w:r>
        <w:rPr>
          <w:rFonts w:ascii="Calibri" w:eastAsia="Calibri" w:hAnsi="Calibri" w:cs="Calibri"/>
          <w:b/>
          <w:bCs/>
        </w:rPr>
        <w:t xml:space="preserve"> </w:t>
      </w:r>
    </w:p>
    <w:p w14:paraId="00000150" w14:textId="77777777" w:rsidR="006E4CBF" w:rsidRDefault="00F24F9B">
      <w:pPr>
        <w:spacing w:after="157" w:line="260" w:lineRule="auto"/>
        <w:ind w:left="139" w:hanging="10"/>
      </w:pPr>
      <w:r>
        <w:rPr>
          <w:rFonts w:ascii="Calibri" w:eastAsia="Calibri" w:hAnsi="Calibri" w:cs="Calibri"/>
          <w:b/>
          <w:bCs/>
        </w:rPr>
        <w:t xml:space="preserve">The parties confirm that they have read and understood and accept the Standard Reservation Conditions and any Additional Provisions. </w:t>
      </w:r>
    </w:p>
    <w:p w14:paraId="00000151" w14:textId="77777777" w:rsidR="006E4CBF" w:rsidRDefault="00F24F9B">
      <w:pPr>
        <w:spacing w:after="0"/>
        <w:ind w:left="144"/>
      </w:pPr>
      <w:r>
        <w:rPr>
          <w:rFonts w:ascii="Calibri" w:eastAsia="Calibri" w:hAnsi="Calibri" w:cs="Calibri"/>
          <w:b/>
          <w:bCs/>
        </w:rPr>
        <w:t xml:space="preserve"> </w:t>
      </w:r>
    </w:p>
    <w:tbl>
      <w:tblPr>
        <w:tblStyle w:val="a6"/>
        <w:tblW w:w="9643" w:type="dxa"/>
        <w:tblInd w:w="-140" w:type="dxa"/>
        <w:tblLayout w:type="fixed"/>
        <w:tblLook w:val="0400" w:firstRow="0" w:lastRow="0" w:firstColumn="0" w:lastColumn="0" w:noHBand="0" w:noVBand="1"/>
      </w:tblPr>
      <w:tblGrid>
        <w:gridCol w:w="2725"/>
        <w:gridCol w:w="6918"/>
      </w:tblGrid>
      <w:tr w:rsidR="006E4CBF" w14:paraId="1F54BC10" w14:textId="77777777" w:rsidTr="00ED672A">
        <w:trPr>
          <w:trHeight w:val="368"/>
        </w:trPr>
        <w:tc>
          <w:tcPr>
            <w:tcW w:w="2725" w:type="dxa"/>
            <w:tcBorders>
              <w:top w:val="single" w:sz="4" w:space="0" w:color="2E74B5"/>
              <w:left w:val="single" w:sz="4" w:space="0" w:color="2E74B5"/>
              <w:bottom w:val="single" w:sz="4" w:space="0" w:color="2E74B5"/>
              <w:right w:val="single" w:sz="4" w:space="0" w:color="2E74B5"/>
            </w:tcBorders>
          </w:tcPr>
          <w:p w14:paraId="00000152" w14:textId="77777777" w:rsidR="006E4CBF" w:rsidRDefault="00F24F9B">
            <w:r>
              <w:rPr>
                <w:rFonts w:ascii="Calibri" w:eastAsia="Calibri" w:hAnsi="Calibri" w:cs="Calibri"/>
                <w:b/>
                <w:bCs/>
              </w:rPr>
              <w:t xml:space="preserve">SIGNED BY THE SELLER(S): </w:t>
            </w:r>
          </w:p>
        </w:tc>
        <w:tc>
          <w:tcPr>
            <w:tcW w:w="6918" w:type="dxa"/>
            <w:tcBorders>
              <w:top w:val="single" w:sz="4" w:space="0" w:color="2E74B5"/>
              <w:left w:val="single" w:sz="4" w:space="0" w:color="2E74B5"/>
              <w:bottom w:val="single" w:sz="4" w:space="0" w:color="2E74B5"/>
              <w:right w:val="single" w:sz="4" w:space="0" w:color="2E74B5"/>
            </w:tcBorders>
          </w:tcPr>
          <w:p w14:paraId="00000153" w14:textId="77777777" w:rsidR="006E4CBF" w:rsidRDefault="00F24F9B">
            <w:pPr>
              <w:ind w:left="1"/>
            </w:pPr>
            <w:r>
              <w:rPr>
                <w:rFonts w:ascii="Calibri" w:eastAsia="Calibri" w:hAnsi="Calibri" w:cs="Calibri"/>
                <w:b/>
                <w:bCs/>
              </w:rPr>
              <w:t xml:space="preserve"> </w:t>
            </w:r>
          </w:p>
        </w:tc>
      </w:tr>
      <w:tr w:rsidR="006E4CBF" w14:paraId="10BF795F" w14:textId="77777777" w:rsidTr="00ED672A">
        <w:trPr>
          <w:trHeight w:val="416"/>
        </w:trPr>
        <w:tc>
          <w:tcPr>
            <w:tcW w:w="2725" w:type="dxa"/>
            <w:tcBorders>
              <w:top w:val="single" w:sz="4" w:space="0" w:color="2E74B5"/>
              <w:left w:val="single" w:sz="4" w:space="0" w:color="2E74B5"/>
              <w:bottom w:val="single" w:sz="4" w:space="0" w:color="2E74B5"/>
              <w:right w:val="single" w:sz="4" w:space="0" w:color="2E74B5"/>
            </w:tcBorders>
          </w:tcPr>
          <w:p w14:paraId="00000154" w14:textId="77777777" w:rsidR="006E4CBF" w:rsidRDefault="00F24F9B">
            <w:r>
              <w:rPr>
                <w:rFonts w:ascii="Calibri" w:eastAsia="Calibri" w:hAnsi="Calibri" w:cs="Calibri"/>
                <w:b/>
                <w:bCs/>
              </w:rPr>
              <w:t xml:space="preserve">SELLER(S) NAME(S): </w:t>
            </w:r>
          </w:p>
        </w:tc>
        <w:tc>
          <w:tcPr>
            <w:tcW w:w="6918" w:type="dxa"/>
            <w:tcBorders>
              <w:top w:val="single" w:sz="4" w:space="0" w:color="2E74B5"/>
              <w:left w:val="single" w:sz="4" w:space="0" w:color="2E74B5"/>
              <w:bottom w:val="single" w:sz="4" w:space="0" w:color="2E74B5"/>
              <w:right w:val="single" w:sz="4" w:space="0" w:color="2E74B5"/>
            </w:tcBorders>
          </w:tcPr>
          <w:p w14:paraId="00000155" w14:textId="77777777" w:rsidR="006E4CBF" w:rsidRDefault="00F24F9B">
            <w:pPr>
              <w:ind w:left="1"/>
            </w:pPr>
            <w:r>
              <w:rPr>
                <w:rFonts w:ascii="Calibri" w:eastAsia="Calibri" w:hAnsi="Calibri" w:cs="Calibri"/>
                <w:b/>
                <w:bCs/>
              </w:rPr>
              <w:t xml:space="preserve"> </w:t>
            </w:r>
          </w:p>
        </w:tc>
      </w:tr>
      <w:tr w:rsidR="006E4CBF" w14:paraId="1C9FF6E6" w14:textId="77777777" w:rsidTr="00ED672A">
        <w:trPr>
          <w:trHeight w:val="436"/>
        </w:trPr>
        <w:tc>
          <w:tcPr>
            <w:tcW w:w="2725" w:type="dxa"/>
            <w:tcBorders>
              <w:top w:val="single" w:sz="4" w:space="0" w:color="2E74B5"/>
              <w:left w:val="single" w:sz="4" w:space="0" w:color="2E74B5"/>
              <w:bottom w:val="single" w:sz="4" w:space="0" w:color="2E74B5"/>
              <w:right w:val="single" w:sz="4" w:space="0" w:color="2E74B5"/>
            </w:tcBorders>
          </w:tcPr>
          <w:p w14:paraId="00000156" w14:textId="77777777" w:rsidR="006E4CBF" w:rsidRDefault="00F24F9B">
            <w:r>
              <w:rPr>
                <w:rFonts w:ascii="Calibri" w:eastAsia="Calibri" w:hAnsi="Calibri" w:cs="Calibri"/>
                <w:b/>
                <w:bCs/>
              </w:rPr>
              <w:t xml:space="preserve">DATE OF SIGNATURE: </w:t>
            </w:r>
          </w:p>
        </w:tc>
        <w:tc>
          <w:tcPr>
            <w:tcW w:w="6918" w:type="dxa"/>
            <w:tcBorders>
              <w:top w:val="single" w:sz="4" w:space="0" w:color="2E74B5"/>
              <w:left w:val="single" w:sz="4" w:space="0" w:color="2E74B5"/>
              <w:bottom w:val="single" w:sz="4" w:space="0" w:color="2E74B5"/>
              <w:right w:val="single" w:sz="4" w:space="0" w:color="2E74B5"/>
            </w:tcBorders>
          </w:tcPr>
          <w:p w14:paraId="00000157" w14:textId="77777777" w:rsidR="006E4CBF" w:rsidRDefault="00F24F9B">
            <w:pPr>
              <w:ind w:left="1"/>
            </w:pPr>
            <w:r>
              <w:rPr>
                <w:rFonts w:ascii="Calibri" w:eastAsia="Calibri" w:hAnsi="Calibri" w:cs="Calibri"/>
                <w:b/>
                <w:bCs/>
              </w:rPr>
              <w:t xml:space="preserve"> </w:t>
            </w:r>
          </w:p>
        </w:tc>
      </w:tr>
      <w:tr w:rsidR="006E4CBF" w14:paraId="3FCF90AC" w14:textId="77777777" w:rsidTr="00ED672A">
        <w:trPr>
          <w:trHeight w:val="424"/>
        </w:trPr>
        <w:tc>
          <w:tcPr>
            <w:tcW w:w="9643" w:type="dxa"/>
            <w:gridSpan w:val="2"/>
            <w:tcBorders>
              <w:top w:val="single" w:sz="4" w:space="0" w:color="2E74B5"/>
              <w:left w:val="single" w:sz="4" w:space="0" w:color="2E74B5"/>
              <w:bottom w:val="single" w:sz="4" w:space="0" w:color="2E74B5"/>
              <w:right w:val="single" w:sz="4" w:space="0" w:color="2E74B5"/>
            </w:tcBorders>
          </w:tcPr>
          <w:p w14:paraId="00000158" w14:textId="77777777" w:rsidR="006E4CBF" w:rsidRDefault="00F24F9B">
            <w:r>
              <w:rPr>
                <w:rFonts w:ascii="Calibri" w:eastAsia="Calibri" w:hAnsi="Calibri" w:cs="Calibri"/>
                <w:b/>
                <w:bCs/>
              </w:rPr>
              <w:t xml:space="preserve"> </w:t>
            </w:r>
          </w:p>
        </w:tc>
      </w:tr>
      <w:tr w:rsidR="006E4CBF" w14:paraId="18EDFC64" w14:textId="77777777" w:rsidTr="00ED672A">
        <w:trPr>
          <w:trHeight w:val="428"/>
        </w:trPr>
        <w:tc>
          <w:tcPr>
            <w:tcW w:w="2725" w:type="dxa"/>
            <w:tcBorders>
              <w:top w:val="single" w:sz="4" w:space="0" w:color="2E74B5"/>
              <w:left w:val="single" w:sz="4" w:space="0" w:color="2E74B5"/>
              <w:bottom w:val="single" w:sz="4" w:space="0" w:color="2E74B5"/>
              <w:right w:val="single" w:sz="4" w:space="0" w:color="2E74B5"/>
            </w:tcBorders>
          </w:tcPr>
          <w:p w14:paraId="0000015A" w14:textId="77777777" w:rsidR="006E4CBF" w:rsidRDefault="00F24F9B">
            <w:r>
              <w:rPr>
                <w:rFonts w:ascii="Calibri" w:eastAsia="Calibri" w:hAnsi="Calibri" w:cs="Calibri"/>
                <w:b/>
                <w:bCs/>
              </w:rPr>
              <w:t xml:space="preserve">SIGNED BY THE BUYER(S): </w:t>
            </w:r>
          </w:p>
        </w:tc>
        <w:tc>
          <w:tcPr>
            <w:tcW w:w="6918" w:type="dxa"/>
            <w:tcBorders>
              <w:top w:val="single" w:sz="4" w:space="0" w:color="2E74B5"/>
              <w:left w:val="single" w:sz="4" w:space="0" w:color="2E74B5"/>
              <w:bottom w:val="single" w:sz="4" w:space="0" w:color="2E74B5"/>
              <w:right w:val="single" w:sz="4" w:space="0" w:color="2E74B5"/>
            </w:tcBorders>
          </w:tcPr>
          <w:p w14:paraId="0000015B" w14:textId="77777777" w:rsidR="006E4CBF" w:rsidRDefault="00F24F9B">
            <w:pPr>
              <w:ind w:left="1"/>
            </w:pPr>
            <w:r>
              <w:rPr>
                <w:rFonts w:ascii="Calibri" w:eastAsia="Calibri" w:hAnsi="Calibri" w:cs="Calibri"/>
                <w:b/>
                <w:bCs/>
              </w:rPr>
              <w:t xml:space="preserve"> </w:t>
            </w:r>
          </w:p>
        </w:tc>
      </w:tr>
      <w:tr w:rsidR="006E4CBF" w14:paraId="7CF83D00" w14:textId="77777777" w:rsidTr="00ED672A">
        <w:trPr>
          <w:trHeight w:val="424"/>
        </w:trPr>
        <w:tc>
          <w:tcPr>
            <w:tcW w:w="2725" w:type="dxa"/>
            <w:tcBorders>
              <w:top w:val="single" w:sz="4" w:space="0" w:color="2E74B5"/>
              <w:left w:val="single" w:sz="4" w:space="0" w:color="2E74B5"/>
              <w:bottom w:val="single" w:sz="4" w:space="0" w:color="2E74B5"/>
              <w:right w:val="single" w:sz="4" w:space="0" w:color="2E74B5"/>
            </w:tcBorders>
          </w:tcPr>
          <w:p w14:paraId="0000015C" w14:textId="77777777" w:rsidR="006E4CBF" w:rsidRDefault="00F24F9B">
            <w:r>
              <w:rPr>
                <w:rFonts w:ascii="Calibri" w:eastAsia="Calibri" w:hAnsi="Calibri" w:cs="Calibri"/>
                <w:b/>
                <w:bCs/>
              </w:rPr>
              <w:t xml:space="preserve">BUYER(S) NAME(S): </w:t>
            </w:r>
          </w:p>
        </w:tc>
        <w:tc>
          <w:tcPr>
            <w:tcW w:w="6918" w:type="dxa"/>
            <w:tcBorders>
              <w:top w:val="single" w:sz="4" w:space="0" w:color="2E74B5"/>
              <w:left w:val="single" w:sz="4" w:space="0" w:color="2E74B5"/>
              <w:bottom w:val="single" w:sz="4" w:space="0" w:color="2E74B5"/>
              <w:right w:val="single" w:sz="4" w:space="0" w:color="2E74B5"/>
            </w:tcBorders>
          </w:tcPr>
          <w:p w14:paraId="0000015D" w14:textId="77777777" w:rsidR="006E4CBF" w:rsidRDefault="00F24F9B">
            <w:pPr>
              <w:ind w:left="1"/>
            </w:pPr>
            <w:r>
              <w:rPr>
                <w:rFonts w:ascii="Calibri" w:eastAsia="Calibri" w:hAnsi="Calibri" w:cs="Calibri"/>
                <w:b/>
                <w:bCs/>
              </w:rPr>
              <w:t xml:space="preserve"> </w:t>
            </w:r>
          </w:p>
        </w:tc>
      </w:tr>
      <w:tr w:rsidR="006E4CBF" w14:paraId="5A491D70" w14:textId="77777777" w:rsidTr="00ED672A">
        <w:trPr>
          <w:trHeight w:val="432"/>
        </w:trPr>
        <w:tc>
          <w:tcPr>
            <w:tcW w:w="2725" w:type="dxa"/>
            <w:tcBorders>
              <w:top w:val="single" w:sz="4" w:space="0" w:color="2E74B5"/>
              <w:left w:val="single" w:sz="4" w:space="0" w:color="2E74B5"/>
              <w:bottom w:val="single" w:sz="4" w:space="0" w:color="2E74B5"/>
              <w:right w:val="single" w:sz="4" w:space="0" w:color="2E74B5"/>
            </w:tcBorders>
          </w:tcPr>
          <w:p w14:paraId="0000015E" w14:textId="77777777" w:rsidR="006E4CBF" w:rsidRDefault="00F24F9B">
            <w:r>
              <w:rPr>
                <w:rFonts w:ascii="Calibri" w:eastAsia="Calibri" w:hAnsi="Calibri" w:cs="Calibri"/>
                <w:b/>
                <w:bCs/>
              </w:rPr>
              <w:t xml:space="preserve">DATE OF SIGNATURE: </w:t>
            </w:r>
          </w:p>
        </w:tc>
        <w:tc>
          <w:tcPr>
            <w:tcW w:w="6918" w:type="dxa"/>
            <w:tcBorders>
              <w:top w:val="single" w:sz="4" w:space="0" w:color="2E74B5"/>
              <w:left w:val="single" w:sz="4" w:space="0" w:color="2E74B5"/>
              <w:bottom w:val="single" w:sz="4" w:space="0" w:color="2E74B5"/>
              <w:right w:val="single" w:sz="4" w:space="0" w:color="2E74B5"/>
            </w:tcBorders>
          </w:tcPr>
          <w:p w14:paraId="0000015F" w14:textId="77777777" w:rsidR="006E4CBF" w:rsidRDefault="00F24F9B">
            <w:pPr>
              <w:ind w:left="1"/>
            </w:pPr>
            <w:r>
              <w:rPr>
                <w:rFonts w:ascii="Calibri" w:eastAsia="Calibri" w:hAnsi="Calibri" w:cs="Calibri"/>
                <w:b/>
                <w:bCs/>
              </w:rPr>
              <w:t xml:space="preserve"> </w:t>
            </w:r>
          </w:p>
        </w:tc>
      </w:tr>
    </w:tbl>
    <w:p w14:paraId="00000160" w14:textId="77777777" w:rsidR="006E4CBF" w:rsidRDefault="00F24F9B">
      <w:pPr>
        <w:spacing w:after="159"/>
        <w:ind w:left="144"/>
      </w:pPr>
      <w:r>
        <w:rPr>
          <w:rFonts w:ascii="Calibri" w:eastAsia="Calibri" w:hAnsi="Calibri" w:cs="Calibri"/>
          <w:b/>
          <w:bCs/>
        </w:rPr>
        <w:t xml:space="preserve"> </w:t>
      </w:r>
    </w:p>
    <w:p w14:paraId="00000161" w14:textId="77777777" w:rsidR="006E4CBF" w:rsidRDefault="00F24F9B">
      <w:pPr>
        <w:spacing w:after="0"/>
        <w:ind w:left="116" w:right="-27"/>
      </w:pPr>
      <w:r>
        <w:rPr>
          <w:noProof/>
        </w:rPr>
        <mc:AlternateContent>
          <mc:Choice Requires="wpg">
            <w:drawing>
              <wp:inline distT="0" distB="0" distL="0" distR="0" wp14:anchorId="6AF7DDB7" wp14:editId="42019829">
                <wp:extent cx="5770245" cy="17780"/>
                <wp:effectExtent l="0" t="0" r="0" b="0"/>
                <wp:docPr id="7669" name="Group 7669"/>
                <wp:cNvGraphicFramePr/>
                <a:graphic xmlns:a="http://schemas.openxmlformats.org/drawingml/2006/main">
                  <a:graphicData uri="http://schemas.microsoft.com/office/word/2010/wordprocessingGroup">
                    <wpg:wgp>
                      <wpg:cNvGrpSpPr/>
                      <wpg:grpSpPr>
                        <a:xfrm>
                          <a:off x="0" y="0"/>
                          <a:ext cx="5770245" cy="17780"/>
                          <a:chOff x="2460875" y="3771100"/>
                          <a:chExt cx="5770250" cy="17800"/>
                        </a:xfrm>
                      </wpg:grpSpPr>
                      <wpg:grpSp>
                        <wpg:cNvPr id="541545864" name="Group 541545864"/>
                        <wpg:cNvGrpSpPr/>
                        <wpg:grpSpPr>
                          <a:xfrm>
                            <a:off x="2460878" y="3771110"/>
                            <a:ext cx="5770245" cy="17780"/>
                            <a:chOff x="2460875" y="3771100"/>
                            <a:chExt cx="5770250" cy="17800"/>
                          </a:xfrm>
                        </wpg:grpSpPr>
                        <wps:wsp>
                          <wps:cNvPr id="1103638636" name="Rectangle 1103638636"/>
                          <wps:cNvSpPr/>
                          <wps:spPr>
                            <a:xfrm>
                              <a:off x="2460875" y="3771100"/>
                              <a:ext cx="5770250" cy="17800"/>
                            </a:xfrm>
                            <a:prstGeom prst="rect">
                              <a:avLst/>
                            </a:prstGeom>
                            <a:noFill/>
                            <a:ln>
                              <a:noFill/>
                            </a:ln>
                          </wps:spPr>
                          <wps:txbx>
                            <w:txbxContent>
                              <w:p w14:paraId="5C17699F" w14:textId="77777777" w:rsidR="006E4CBF" w:rsidRDefault="006E4CBF">
                                <w:pPr>
                                  <w:spacing w:after="0" w:line="240" w:lineRule="auto"/>
                                  <w:textDirection w:val="btLr"/>
                                </w:pPr>
                              </w:p>
                            </w:txbxContent>
                          </wps:txbx>
                          <wps:bodyPr spcFirstLastPara="1" wrap="square" lIns="91425" tIns="91425" rIns="91425" bIns="91425" anchor="ctr" anchorCtr="0">
                            <a:noAutofit/>
                          </wps:bodyPr>
                        </wps:wsp>
                        <wpg:grpSp>
                          <wpg:cNvPr id="651187852" name="Group 651187852"/>
                          <wpg:cNvGrpSpPr/>
                          <wpg:grpSpPr>
                            <a:xfrm>
                              <a:off x="2460878" y="3771110"/>
                              <a:ext cx="5770245" cy="17780"/>
                              <a:chOff x="0" y="0"/>
                              <a:chExt cx="5770245" cy="17780"/>
                            </a:xfrm>
                          </wpg:grpSpPr>
                          <wps:wsp>
                            <wps:cNvPr id="1920504538" name="Rectangle 1920504538"/>
                            <wps:cNvSpPr/>
                            <wps:spPr>
                              <a:xfrm>
                                <a:off x="0" y="0"/>
                                <a:ext cx="5770225" cy="17775"/>
                              </a:xfrm>
                              <a:prstGeom prst="rect">
                                <a:avLst/>
                              </a:prstGeom>
                              <a:noFill/>
                              <a:ln>
                                <a:noFill/>
                              </a:ln>
                            </wps:spPr>
                            <wps:txbx>
                              <w:txbxContent>
                                <w:p w14:paraId="31340E0E" w14:textId="77777777" w:rsidR="006E4CBF" w:rsidRDefault="006E4CBF">
                                  <w:pPr>
                                    <w:spacing w:after="0" w:line="240" w:lineRule="auto"/>
                                    <w:textDirection w:val="btLr"/>
                                  </w:pPr>
                                </w:p>
                              </w:txbxContent>
                            </wps:txbx>
                            <wps:bodyPr spcFirstLastPara="1" wrap="square" lIns="91425" tIns="91425" rIns="91425" bIns="91425" anchor="ctr" anchorCtr="0">
                              <a:noAutofit/>
                            </wps:bodyPr>
                          </wps:wsp>
                          <wps:wsp>
                            <wps:cNvPr id="360449025" name="Freeform: Shape 360449025"/>
                            <wps:cNvSpPr/>
                            <wps:spPr>
                              <a:xfrm>
                                <a:off x="0" y="0"/>
                                <a:ext cx="5770245" cy="17780"/>
                              </a:xfrm>
                              <a:custGeom>
                                <a:avLst/>
                                <a:gdLst/>
                                <a:ahLst/>
                                <a:cxnLst/>
                                <a:rect l="l" t="t" r="r" b="b"/>
                                <a:pathLst>
                                  <a:path w="5770245" h="17780" extrusionOk="0">
                                    <a:moveTo>
                                      <a:pt x="0" y="0"/>
                                    </a:moveTo>
                                    <a:lnTo>
                                      <a:pt x="5770245" y="0"/>
                                    </a:lnTo>
                                    <a:lnTo>
                                      <a:pt x="5770245" y="17780"/>
                                    </a:lnTo>
                                    <a:lnTo>
                                      <a:pt x="0" y="1778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inline>
            </w:drawing>
          </mc:Choice>
          <mc:Fallback>
            <w:pict>
              <v:group w14:anchorId="6AF7DDB7" id="Group 7669" o:spid="_x0000_s1026" style="width:454.35pt;height:1.4pt;mso-position-horizontal-relative:char;mso-position-vertical-relative:line" coordorigin="24608,37711" coordsize="5770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">
                <v:group id="Group 541545864" o:spid="_x0000_s1027" style="position:absolute;left:24608;top:37711;width:57703;height:177" coordorigin="24608,37711" coordsize="5770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">
                  <v:rect id="Rectangle 1103638636" o:spid="_x0000_s1028" style="position:absolute;left:24608;top:37711;width:57703;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" filled="f" stroked="f">
                    <v:textbox inset="2.53958mm,2.53958mm,2.53958mm,2.53958mm">
                      <w:txbxContent>
                        <w:p w14:paraId="5C17699F" w14:textId="77777777" w:rsidR="006E4CBF" w:rsidRDefault="006E4CBF">
                          <w:pPr>
                            <w:spacing w:after="0" w:line="240" w:lineRule="auto"/>
                            <w:textDirection w:val="btLr"/>
                          </w:pPr>
                        </w:p>
                      </w:txbxContent>
                    </v:textbox>
                  </v:rect>
                  <v:group id="Group 651187852" o:spid="_x0000_s1029" style="position:absolute;left:24608;top:37711;width:57703;height:177" coordsize="5770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">
                    <v:rect id="Rectangle 1920504538" o:spid="_x0000_s1030" style="position:absolute;width:57702;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" filled="f" stroked="f">
                      <v:textbox inset="2.53958mm,2.53958mm,2.53958mm,2.53958mm">
                        <w:txbxContent>
                          <w:p w14:paraId="31340E0E" w14:textId="77777777" w:rsidR="006E4CBF" w:rsidRDefault="006E4CBF">
                            <w:pPr>
                              <w:spacing w:after="0" w:line="240" w:lineRule="auto"/>
                              <w:textDirection w:val="btLr"/>
                            </w:pPr>
                          </w:p>
                        </w:txbxContent>
                      </v:textbox>
                    </v:rect>
                    <v:shape id="Freeform: Shape 360449025" o:spid="_x0000_s1031" style="position:absolute;width:57702;height:177;visibility:visible;mso-wrap-style:square;v-text-anchor:middle" coordsize="577024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" path="m,l5770245,r,17780l,17780,,e" fillcolor="black" stroked="f">
                      <v:path arrowok="t" o:extrusionok="f"/>
                    </v:shape>
                  </v:group>
                </v:group>
                <w10:anchorlock/>
              </v:group>
            </w:pict>
          </mc:Fallback>
        </mc:AlternateContent>
      </w:r>
    </w:p>
    <w:p w14:paraId="00000162" w14:textId="77777777" w:rsidR="006E4CBF" w:rsidRDefault="00F24F9B">
      <w:pPr>
        <w:rPr>
          <w:rFonts w:ascii="Aptos" w:eastAsia="Aptos" w:hAnsi="Aptos" w:cs="Aptos"/>
        </w:rPr>
      </w:pPr>
      <w:r>
        <w:br w:type="page"/>
      </w:r>
    </w:p>
    <w:p w14:paraId="00000163" w14:textId="77777777" w:rsidR="006E4CBF" w:rsidRDefault="00F24F9B">
      <w:pPr>
        <w:jc w:val="center"/>
        <w:rPr>
          <w:b/>
          <w:bCs/>
        </w:rPr>
      </w:pPr>
      <w:r>
        <w:rPr>
          <w:b/>
          <w:bCs/>
        </w:rPr>
        <w:t xml:space="preserve">RESERVATION AGREEMENTS – EXPLANATORY NOTE AND LIST OF POTENTIAL BENEFITS </w:t>
      </w:r>
    </w:p>
    <w:p w14:paraId="00000164" w14:textId="77777777" w:rsidR="006E4CBF" w:rsidRDefault="00F24F9B">
      <w:pPr>
        <w:rPr>
          <w:b/>
          <w:bCs/>
        </w:rPr>
      </w:pPr>
      <w:r>
        <w:rPr>
          <w:b/>
          <w:bCs/>
        </w:rPr>
        <w:t>Introduction</w:t>
      </w:r>
    </w:p>
    <w:p w14:paraId="00000165" w14:textId="77777777" w:rsidR="006E4CBF" w:rsidRDefault="00F24F9B">
      <w:r>
        <w:t>A reservation agreement is a formal agreement made between a buyer and seller of property as soon as possible after they agree the sale price and any other main terms but before they enter into the actual sale and purchase contract.</w:t>
      </w:r>
    </w:p>
    <w:p w14:paraId="00000166" w14:textId="055AA143" w:rsidR="006E4CBF" w:rsidRDefault="00F24F9B">
      <w:r>
        <w:t xml:space="preserve">It is designed to encourage both the buyer and the seller to feel committed to the transaction and maximises the chance of exchange of contracts taking place. Once it is entered into, the parties can arrange for the necessary conveyancing and financing steps to be carried out so that they can exchange contracts within an agreed period, which will often be four to six weeks. </w:t>
      </w:r>
    </w:p>
    <w:p w14:paraId="00000167" w14:textId="4F8A275F" w:rsidR="006E4CBF" w:rsidRDefault="00F24F9B">
      <w:r>
        <w:t>This note does not cover reservation agreements for new build properties, which are usually on different terms from those described here</w:t>
      </w:r>
      <w:r w:rsidR="00DD0FEB">
        <w:t xml:space="preserve">. </w:t>
      </w:r>
    </w:p>
    <w:p w14:paraId="00000168" w14:textId="77777777" w:rsidR="006E4CBF" w:rsidRDefault="00F24F9B">
      <w:pPr>
        <w:rPr>
          <w:b/>
          <w:bCs/>
        </w:rPr>
      </w:pPr>
      <w:r>
        <w:rPr>
          <w:b/>
          <w:bCs/>
        </w:rPr>
        <w:t>Operation</w:t>
      </w:r>
    </w:p>
    <w:p w14:paraId="00000169" w14:textId="77777777" w:rsidR="006E4CBF" w:rsidRDefault="00F24F9B">
      <w:r>
        <w:t>A reservation agreement:</w:t>
      </w:r>
    </w:p>
    <w:p w14:paraId="0000016A" w14:textId="77777777" w:rsidR="006E4CBF" w:rsidRDefault="00F24F9B">
      <w:pPr>
        <w:numPr>
          <w:ilvl w:val="0"/>
          <w:numId w:val="5"/>
        </w:numPr>
        <w:pBdr>
          <w:top w:val="nil"/>
          <w:left w:val="nil"/>
          <w:bottom w:val="nil"/>
          <w:right w:val="nil"/>
          <w:between w:val="nil"/>
        </w:pBdr>
        <w:spacing w:after="240"/>
        <w:jc w:val="both"/>
      </w:pPr>
      <w:r>
        <w:rPr>
          <w:color w:val="000000"/>
        </w:rPr>
        <w:t>makes the seller reserve the property for the buyer for an agreed period during which the seller must stop marketing the property, the parties must get their conveyancers to progress the legal aspects (known as conveyancing) and the buyer must apply for any necessary mortgage</w:t>
      </w:r>
    </w:p>
    <w:p w14:paraId="0000016B" w14:textId="77777777" w:rsidR="006E4CBF" w:rsidRDefault="00F24F9B">
      <w:pPr>
        <w:numPr>
          <w:ilvl w:val="0"/>
          <w:numId w:val="5"/>
        </w:numPr>
        <w:pBdr>
          <w:top w:val="nil"/>
          <w:left w:val="nil"/>
          <w:bottom w:val="nil"/>
          <w:right w:val="nil"/>
          <w:between w:val="nil"/>
        </w:pBdr>
        <w:spacing w:after="240"/>
        <w:jc w:val="both"/>
      </w:pPr>
      <w:r>
        <w:rPr>
          <w:color w:val="000000"/>
        </w:rPr>
        <w:t xml:space="preserve">requires each party to pay an agreed sum as a preliminary deposit </w:t>
      </w:r>
    </w:p>
    <w:p w14:paraId="0000016C" w14:textId="77777777" w:rsidR="006E4CBF" w:rsidRDefault="00F24F9B">
      <w:pPr>
        <w:numPr>
          <w:ilvl w:val="0"/>
          <w:numId w:val="5"/>
        </w:numPr>
        <w:pBdr>
          <w:top w:val="nil"/>
          <w:left w:val="nil"/>
          <w:bottom w:val="nil"/>
          <w:right w:val="nil"/>
          <w:between w:val="nil"/>
        </w:pBdr>
        <w:spacing w:after="240"/>
        <w:jc w:val="both"/>
      </w:pPr>
      <w:r>
        <w:rPr>
          <w:color w:val="000000"/>
        </w:rPr>
        <w:t>applies the buyer's preliminary deposit towards the deposit payable on exchange of contracts, but if the buyer cancels the reservation or is unwilling to exchange contracts by the end of the agreed period it makes that preliminary deposit payable to the seller, unless the buyer has one of the listed acceptable reasons for withdrawing (see below) when it will be repayable to the buyer</w:t>
      </w:r>
    </w:p>
    <w:p w14:paraId="0000016D" w14:textId="77777777" w:rsidR="006E4CBF" w:rsidRDefault="00F24F9B">
      <w:pPr>
        <w:numPr>
          <w:ilvl w:val="0"/>
          <w:numId w:val="5"/>
        </w:numPr>
        <w:pBdr>
          <w:top w:val="nil"/>
          <w:left w:val="nil"/>
          <w:bottom w:val="nil"/>
          <w:right w:val="nil"/>
          <w:between w:val="nil"/>
        </w:pBdr>
        <w:spacing w:after="240"/>
        <w:jc w:val="both"/>
      </w:pPr>
      <w:r>
        <w:rPr>
          <w:color w:val="000000"/>
        </w:rPr>
        <w:t>allows the seller's preliminary deposit to be held until completion and then applied towards the selling agent's commission if there is an exchange of contracts and completion, but if the seller cancels the reservation or is unwilling to exchange contracts by the end of the agreed period it makes that preliminary deposit payable to the buyer, unless the seller has one of the listed acceptable reasons for withdrawing (see below) when it will be repayable to the seller.</w:t>
      </w:r>
    </w:p>
    <w:p w14:paraId="0000016E" w14:textId="05A6BDCB" w:rsidR="006E4CBF" w:rsidRDefault="00F24F9B">
      <w:r>
        <w:t>The list of acceptable reasons for withdrawing will be tailored to suit the circumstances</w:t>
      </w:r>
      <w:r w:rsidR="00DD0FEB">
        <w:t xml:space="preserve">. </w:t>
      </w:r>
      <w:r>
        <w:t>It will normally allow the buyer to withdraw where the property has a defective legal title or where the results of conveyancing searches and enquiries reveal a serious adverse matter</w:t>
      </w:r>
      <w:r w:rsidR="00DD0FEB">
        <w:t xml:space="preserve">. </w:t>
      </w:r>
      <w:r>
        <w:t>In chain transactions it can allow a party to withdraw if unable to exchange contracts on a related sale or purchase</w:t>
      </w:r>
      <w:r w:rsidR="00DD0FEB">
        <w:t xml:space="preserve">. </w:t>
      </w:r>
      <w:r>
        <w:t>Where the buyer needs a mortgage, it can include where the mortgage is refused either for any reason or only where the property is valued at below the agreed purchase price</w:t>
      </w:r>
      <w:r w:rsidR="00DD0FEB">
        <w:t xml:space="preserve">. </w:t>
      </w:r>
      <w:r>
        <w:t>Where the buyer has special requirements for the property (such as the ability to keep a caravan or build an extension) it can include discovering that this may be prevented by some legal covenant, adverse right or planning restriction.</w:t>
      </w:r>
    </w:p>
    <w:p w14:paraId="0000016F" w14:textId="77777777" w:rsidR="006E4CBF" w:rsidRDefault="00F24F9B">
      <w:pPr>
        <w:rPr>
          <w:b/>
          <w:bCs/>
        </w:rPr>
      </w:pPr>
      <w:r>
        <w:rPr>
          <w:b/>
          <w:bCs/>
        </w:rPr>
        <w:t>Potential benefits</w:t>
      </w:r>
    </w:p>
    <w:p w14:paraId="00000170" w14:textId="77777777" w:rsidR="006E4CBF" w:rsidRDefault="00F24F9B">
      <w:r>
        <w:t xml:space="preserve">The potential benefits of a reservation agreement are: </w:t>
      </w:r>
    </w:p>
    <w:p w14:paraId="00000171" w14:textId="77777777" w:rsidR="006E4CBF" w:rsidRDefault="00F24F9B">
      <w:pPr>
        <w:numPr>
          <w:ilvl w:val="0"/>
          <w:numId w:val="7"/>
        </w:numPr>
        <w:spacing w:after="240"/>
        <w:jc w:val="both"/>
      </w:pPr>
      <w:r>
        <w:t>It increases the commitment of both parties to the transaction – especially where money is at risk</w:t>
      </w:r>
    </w:p>
    <w:p w14:paraId="00000172" w14:textId="77777777" w:rsidR="006E4CBF" w:rsidRDefault="00F24F9B">
      <w:pPr>
        <w:numPr>
          <w:ilvl w:val="0"/>
          <w:numId w:val="7"/>
        </w:numPr>
        <w:spacing w:after="240"/>
        <w:jc w:val="both"/>
      </w:pPr>
      <w:r>
        <w:t>It encourages them to pursue what needs to be done to meet agreed timetables</w:t>
      </w:r>
    </w:p>
    <w:p w14:paraId="00000173" w14:textId="77777777" w:rsidR="006E4CBF" w:rsidRDefault="00F24F9B">
      <w:pPr>
        <w:numPr>
          <w:ilvl w:val="0"/>
          <w:numId w:val="7"/>
        </w:numPr>
        <w:spacing w:after="240"/>
        <w:jc w:val="both"/>
      </w:pPr>
      <w:r>
        <w:t>Only those who are serious will enter into it, which should reduce fall-through rates and wasted costs</w:t>
      </w:r>
    </w:p>
    <w:p w14:paraId="00000174" w14:textId="77777777" w:rsidR="006E4CBF" w:rsidRDefault="00F24F9B">
      <w:pPr>
        <w:numPr>
          <w:ilvl w:val="0"/>
          <w:numId w:val="7"/>
        </w:numPr>
        <w:spacing w:after="240"/>
        <w:jc w:val="both"/>
      </w:pPr>
      <w:r>
        <w:t>It will provide some compensation where costs are incurred and the other party withdraws without justification</w:t>
      </w:r>
    </w:p>
    <w:p w14:paraId="00000175" w14:textId="77777777" w:rsidR="006E4CBF" w:rsidRDefault="00F24F9B">
      <w:pPr>
        <w:numPr>
          <w:ilvl w:val="0"/>
          <w:numId w:val="7"/>
        </w:numPr>
        <w:spacing w:after="240"/>
        <w:jc w:val="both"/>
      </w:pPr>
      <w:r>
        <w:t>Knowing that the other party has already entered into a reservation agreement on their related sale or purchase can give you further comfort that they are serious</w:t>
      </w:r>
    </w:p>
    <w:p w14:paraId="00000176" w14:textId="77777777" w:rsidR="006E4CBF" w:rsidRDefault="00F24F9B">
      <w:pPr>
        <w:numPr>
          <w:ilvl w:val="0"/>
          <w:numId w:val="7"/>
        </w:numPr>
        <w:spacing w:after="240"/>
        <w:jc w:val="both"/>
        <w:rPr>
          <w:b/>
          <w:bCs/>
        </w:rPr>
      </w:pPr>
      <w:r>
        <w:t>It should discourage the disingenuous and those buyers who make offers on multiple properties while only intending to buy one.</w:t>
      </w:r>
    </w:p>
    <w:p w14:paraId="00000177" w14:textId="77777777" w:rsidR="006E4CBF" w:rsidRDefault="00F24F9B">
      <w:pPr>
        <w:numPr>
          <w:ilvl w:val="0"/>
          <w:numId w:val="7"/>
        </w:numPr>
        <w:spacing w:after="240"/>
        <w:jc w:val="both"/>
      </w:pPr>
      <w:r>
        <w:t>It should encourage the seller to collate the required property information and encourage the buyer to obtain any necessary in-principle mortgage offer before they make or accept an offer, so reducing the time it will take to reach exchange of contracts.</w:t>
      </w:r>
    </w:p>
    <w:p w14:paraId="00000178" w14:textId="77777777" w:rsidR="006E4CBF" w:rsidRDefault="00F24F9B">
      <w:pPr>
        <w:rPr>
          <w:b/>
          <w:bCs/>
        </w:rPr>
      </w:pPr>
      <w:r>
        <w:br w:type="page"/>
      </w:r>
    </w:p>
    <w:p w14:paraId="00000179" w14:textId="77777777" w:rsidR="006E4CBF" w:rsidRDefault="00F24F9B">
      <w:pPr>
        <w:jc w:val="center"/>
        <w:rPr>
          <w:b/>
          <w:bCs/>
        </w:rPr>
      </w:pPr>
      <w:r>
        <w:rPr>
          <w:b/>
          <w:bCs/>
        </w:rPr>
        <w:t>RESERVATION AGREEMENTS – NOTE FOR ESTATE AGENTS</w:t>
      </w:r>
    </w:p>
    <w:p w14:paraId="0000017A" w14:textId="77777777" w:rsidR="006E4CBF" w:rsidRDefault="00F24F9B">
      <w:pPr>
        <w:rPr>
          <w:b/>
          <w:bCs/>
        </w:rPr>
      </w:pPr>
      <w:r>
        <w:rPr>
          <w:b/>
          <w:bCs/>
        </w:rPr>
        <w:t>Introduction</w:t>
      </w:r>
    </w:p>
    <w:p w14:paraId="0000017B" w14:textId="77777777" w:rsidR="006E4CBF" w:rsidRDefault="00F24F9B">
      <w:r>
        <w:t>The reservation agreement is a formal agreement to be made between the buyer and the seller as soon as possible after they agree the sale price and any other main terms but before exchange of contracts.</w:t>
      </w:r>
    </w:p>
    <w:p w14:paraId="0000017C" w14:textId="72A9134D" w:rsidR="006E4CBF" w:rsidRDefault="00F24F9B">
      <w:r>
        <w:t>It is designed to encourage both the buyer and the seller to feel committed to the transaction and maximises the chance of exchange of contracts taking place</w:t>
      </w:r>
      <w:r w:rsidR="00DD0FEB">
        <w:t xml:space="preserve">. </w:t>
      </w:r>
      <w:r>
        <w:t xml:space="preserve">Once it is entered into, the parties can arrange for the necessary conveyancing and financing steps to be carried out so that they can exchange contracts within an agreed period, which will often be four to six weeks. </w:t>
      </w:r>
    </w:p>
    <w:p w14:paraId="0000017D" w14:textId="6B20CEA4" w:rsidR="006E4CBF" w:rsidRDefault="00F24F9B">
      <w:r>
        <w:t>This note does not cover reservation agreements for new build properties, which are usually on different terms</w:t>
      </w:r>
      <w:r w:rsidR="00DD0FEB">
        <w:t xml:space="preserve">. </w:t>
      </w:r>
    </w:p>
    <w:p w14:paraId="0000017E" w14:textId="77777777" w:rsidR="006E4CBF" w:rsidRDefault="00F24F9B">
      <w:pPr>
        <w:rPr>
          <w:b/>
          <w:bCs/>
        </w:rPr>
      </w:pPr>
      <w:r>
        <w:rPr>
          <w:b/>
          <w:bCs/>
        </w:rPr>
        <w:t>How the Reservation Agreement operates</w:t>
      </w:r>
    </w:p>
    <w:p w14:paraId="0000017F" w14:textId="77777777" w:rsidR="006E4CBF" w:rsidRDefault="00F24F9B">
      <w:r>
        <w:t>The reservation agreement:</w:t>
      </w:r>
    </w:p>
    <w:p w14:paraId="00000180" w14:textId="77777777" w:rsidR="006E4CBF" w:rsidRDefault="00F24F9B">
      <w:pPr>
        <w:numPr>
          <w:ilvl w:val="0"/>
          <w:numId w:val="5"/>
        </w:numPr>
        <w:pBdr>
          <w:top w:val="nil"/>
          <w:left w:val="nil"/>
          <w:bottom w:val="nil"/>
          <w:right w:val="nil"/>
          <w:between w:val="nil"/>
        </w:pBdr>
        <w:spacing w:after="240"/>
        <w:jc w:val="both"/>
      </w:pPr>
      <w:r>
        <w:rPr>
          <w:color w:val="000000"/>
        </w:rPr>
        <w:t>makes the seller reserve the property for the buyer for an agreed period during which the seller must stop marketing the property, the parties must get their conveyancers to progress the conveyancing and the buyer must apply for any necessary mortgage</w:t>
      </w:r>
    </w:p>
    <w:p w14:paraId="00000181" w14:textId="77777777" w:rsidR="006E4CBF" w:rsidRDefault="00F24F9B">
      <w:pPr>
        <w:numPr>
          <w:ilvl w:val="0"/>
          <w:numId w:val="5"/>
        </w:numPr>
        <w:pBdr>
          <w:top w:val="nil"/>
          <w:left w:val="nil"/>
          <w:bottom w:val="nil"/>
          <w:right w:val="nil"/>
          <w:between w:val="nil"/>
        </w:pBdr>
        <w:spacing w:after="240"/>
        <w:jc w:val="both"/>
      </w:pPr>
      <w:r>
        <w:rPr>
          <w:color w:val="000000"/>
        </w:rPr>
        <w:t xml:space="preserve">requires each party to pay an agreed sum as a preliminary deposit </w:t>
      </w:r>
    </w:p>
    <w:p w14:paraId="00000182" w14:textId="77777777" w:rsidR="006E4CBF" w:rsidRDefault="00F24F9B">
      <w:pPr>
        <w:numPr>
          <w:ilvl w:val="0"/>
          <w:numId w:val="5"/>
        </w:numPr>
        <w:pBdr>
          <w:top w:val="nil"/>
          <w:left w:val="nil"/>
          <w:bottom w:val="nil"/>
          <w:right w:val="nil"/>
          <w:between w:val="nil"/>
        </w:pBdr>
        <w:spacing w:after="240"/>
        <w:jc w:val="both"/>
      </w:pPr>
      <w:r>
        <w:rPr>
          <w:color w:val="000000"/>
        </w:rPr>
        <w:t>applies the buyer's preliminary deposit towards the deposit payable on exchange of contracts, but if the buyer cancels the reservation or is unwilling to exchange contracts by the end of the agreed period it makes that preliminary deposit payable to the seller, unless the buyer has one of the listed acceptable reasons for withdrawing (see below) when it will be repayable to the buyer</w:t>
      </w:r>
    </w:p>
    <w:p w14:paraId="00000183" w14:textId="77777777" w:rsidR="006E4CBF" w:rsidRDefault="00F24F9B">
      <w:pPr>
        <w:numPr>
          <w:ilvl w:val="0"/>
          <w:numId w:val="5"/>
        </w:numPr>
        <w:pBdr>
          <w:top w:val="nil"/>
          <w:left w:val="nil"/>
          <w:bottom w:val="nil"/>
          <w:right w:val="nil"/>
          <w:between w:val="nil"/>
        </w:pBdr>
        <w:spacing w:after="240"/>
        <w:jc w:val="both"/>
      </w:pPr>
      <w:r>
        <w:rPr>
          <w:color w:val="000000"/>
        </w:rPr>
        <w:t>allows the seller's preliminary deposit to be held until completion and then applied towards the selling agent's commission if there is an exchange of contracts and completion, but if the seller cancels the reservation or is unwilling to exchange contracts by the end of the agreed period it makes that preliminary deposit payable to the buyer, unless the seller has one of the listed acceptable reasons for withdrawing (see below) when it will be repayable to the seller.</w:t>
      </w:r>
    </w:p>
    <w:p w14:paraId="00000184" w14:textId="0ECC19D3" w:rsidR="006E4CBF" w:rsidRDefault="00F24F9B">
      <w:r>
        <w:t>The list of acceptable reasons for withdrawing should be tailored to suit the circumstances and optional standard wordings will be provided</w:t>
      </w:r>
      <w:r w:rsidR="00DD0FEB">
        <w:t xml:space="preserve">. </w:t>
      </w:r>
      <w:r>
        <w:t>It will normally allow the buyer to withdraw where the property has a defective legal title or where the results of conveyancing searches and enquiries reveal a serious adverse matter</w:t>
      </w:r>
      <w:r w:rsidR="00DD0FEB">
        <w:t xml:space="preserve">. </w:t>
      </w:r>
      <w:r>
        <w:t>In chain transactions it can allow a party to withdraw if unable to exchange contracts on a related sale or purchase</w:t>
      </w:r>
      <w:r w:rsidR="00DD0FEB">
        <w:t xml:space="preserve">. </w:t>
      </w:r>
      <w:r>
        <w:t>Where the buyer needs a mortgage, it can include where the mortgage is refused either (and this needs a choice of clause to be made) for any reason or only where the property is valued at below the agreed purchase price</w:t>
      </w:r>
      <w:r w:rsidR="00DD0FEB">
        <w:t xml:space="preserve">. </w:t>
      </w:r>
      <w:r>
        <w:t>Where the buyer has special requirements for the property (such as the ability to keep a caravan or build an extension) this requirement can be inserted and the reasons for withdrawing can include discovering that this may be prevented by some legal covenant, adverse right or planning restriction.</w:t>
      </w:r>
    </w:p>
    <w:p w14:paraId="00000185" w14:textId="77777777" w:rsidR="006E4CBF" w:rsidRDefault="00F24F9B">
      <w:pPr>
        <w:rPr>
          <w:rFonts w:ascii="Aptos" w:eastAsia="Aptos" w:hAnsi="Aptos" w:cs="Aptos"/>
        </w:rPr>
      </w:pPr>
      <w:r>
        <w:br w:type="page"/>
      </w:r>
    </w:p>
    <w:p w14:paraId="00000186" w14:textId="77777777" w:rsidR="006E4CBF" w:rsidRDefault="00F24F9B">
      <w:pPr>
        <w:jc w:val="center"/>
        <w:rPr>
          <w:b/>
          <w:bCs/>
        </w:rPr>
      </w:pPr>
      <w:r>
        <w:rPr>
          <w:b/>
          <w:bCs/>
        </w:rPr>
        <w:t>RESERVATION AGREEMENTS – GUIDE FOR BUYERS AND SELLERS</w:t>
      </w:r>
    </w:p>
    <w:p w14:paraId="00000187" w14:textId="77777777" w:rsidR="006E4CBF" w:rsidRDefault="00F24F9B">
      <w:pPr>
        <w:rPr>
          <w:b/>
          <w:bCs/>
        </w:rPr>
      </w:pPr>
      <w:r>
        <w:rPr>
          <w:b/>
          <w:bCs/>
        </w:rPr>
        <w:t>What is a reservation agreement?</w:t>
      </w:r>
    </w:p>
    <w:p w14:paraId="00000188" w14:textId="028D7DBB" w:rsidR="006E4CBF" w:rsidRDefault="00F24F9B">
      <w:r>
        <w:t>A reservation agreement is a formal agreement made between a buyer and seller of property before they enter into the actual sale and purchase contract (which is called exchange of contracts)</w:t>
      </w:r>
      <w:r w:rsidR="00DD0FEB">
        <w:t xml:space="preserve">. </w:t>
      </w:r>
      <w:r>
        <w:t>It is designed to encourage both the buyer and the seller to feel committed to the transaction and maximises the chance of exchange of contracts taking place</w:t>
      </w:r>
      <w:r w:rsidR="00DD0FEB">
        <w:t xml:space="preserve">. </w:t>
      </w:r>
      <w:r>
        <w:t xml:space="preserve">Once it is entered into, the parties can arrange for the necessary legal (conveyancing) and financing steps to be carried out so that they can exchange contracts within an agreed period, which will often be four to six weeks. </w:t>
      </w:r>
    </w:p>
    <w:p w14:paraId="00000189" w14:textId="045F33E5" w:rsidR="006E4CBF" w:rsidRDefault="00F24F9B">
      <w:r>
        <w:t>This guide does not cover reservation agreements for new build properties, which are usually on different terms from those described here</w:t>
      </w:r>
      <w:r w:rsidR="00DD0FEB">
        <w:t xml:space="preserve">. </w:t>
      </w:r>
    </w:p>
    <w:p w14:paraId="0000018A" w14:textId="77777777" w:rsidR="006E4CBF" w:rsidRDefault="00F24F9B">
      <w:pPr>
        <w:rPr>
          <w:b/>
          <w:bCs/>
        </w:rPr>
      </w:pPr>
      <w:r>
        <w:rPr>
          <w:b/>
          <w:bCs/>
        </w:rPr>
        <w:t>How does it work?</w:t>
      </w:r>
    </w:p>
    <w:p w14:paraId="0000018B" w14:textId="77777777" w:rsidR="006E4CBF" w:rsidRDefault="00F24F9B">
      <w:r>
        <w:t>A reservation agreement:</w:t>
      </w:r>
    </w:p>
    <w:p w14:paraId="0000018C" w14:textId="77777777" w:rsidR="006E4CBF" w:rsidRDefault="00F24F9B">
      <w:pPr>
        <w:numPr>
          <w:ilvl w:val="0"/>
          <w:numId w:val="5"/>
        </w:numPr>
        <w:pBdr>
          <w:top w:val="nil"/>
          <w:left w:val="nil"/>
          <w:bottom w:val="nil"/>
          <w:right w:val="nil"/>
          <w:between w:val="nil"/>
        </w:pBdr>
        <w:spacing w:after="240"/>
        <w:jc w:val="both"/>
      </w:pPr>
      <w:r>
        <w:rPr>
          <w:color w:val="000000"/>
        </w:rPr>
        <w:t>makes the seller reserve the property for the buyer for an agreed period during which the seller must stop marketing the property, the parties must get their conveyancers to progress the legal aspects (known as conveyancing) and the buyer must apply for any necessary mortgage</w:t>
      </w:r>
    </w:p>
    <w:p w14:paraId="0000018D" w14:textId="77777777" w:rsidR="006E4CBF" w:rsidRDefault="00F24F9B">
      <w:pPr>
        <w:numPr>
          <w:ilvl w:val="0"/>
          <w:numId w:val="5"/>
        </w:numPr>
        <w:pBdr>
          <w:top w:val="nil"/>
          <w:left w:val="nil"/>
          <w:bottom w:val="nil"/>
          <w:right w:val="nil"/>
          <w:between w:val="nil"/>
        </w:pBdr>
        <w:spacing w:after="240"/>
        <w:jc w:val="both"/>
      </w:pPr>
      <w:r>
        <w:rPr>
          <w:color w:val="000000"/>
        </w:rPr>
        <w:t xml:space="preserve">requires each party to pay an agreed sum as a preliminary deposit </w:t>
      </w:r>
    </w:p>
    <w:p w14:paraId="0000018E" w14:textId="77777777" w:rsidR="006E4CBF" w:rsidRDefault="00F24F9B">
      <w:pPr>
        <w:numPr>
          <w:ilvl w:val="0"/>
          <w:numId w:val="5"/>
        </w:numPr>
        <w:pBdr>
          <w:top w:val="nil"/>
          <w:left w:val="nil"/>
          <w:bottom w:val="nil"/>
          <w:right w:val="nil"/>
          <w:between w:val="nil"/>
        </w:pBdr>
        <w:spacing w:after="240"/>
        <w:jc w:val="both"/>
      </w:pPr>
      <w:r>
        <w:rPr>
          <w:color w:val="000000"/>
        </w:rPr>
        <w:t>applies the buyer's preliminary deposit towards the deposit payable on exchange of contracts, but if the buyer cancels the reservation or is unwilling to exchange contracts by the end of the agreed period it makes that preliminary deposit payable to the seller, unless the buyer has one of the listed acceptable reasons for withdrawing (see below) when it will be repayable to the buyer</w:t>
      </w:r>
    </w:p>
    <w:p w14:paraId="0000018F" w14:textId="77777777" w:rsidR="006E4CBF" w:rsidRDefault="00F24F9B">
      <w:pPr>
        <w:numPr>
          <w:ilvl w:val="0"/>
          <w:numId w:val="5"/>
        </w:numPr>
        <w:pBdr>
          <w:top w:val="nil"/>
          <w:left w:val="nil"/>
          <w:bottom w:val="nil"/>
          <w:right w:val="nil"/>
          <w:between w:val="nil"/>
        </w:pBdr>
        <w:spacing w:after="240"/>
        <w:jc w:val="both"/>
      </w:pPr>
      <w:r>
        <w:rPr>
          <w:color w:val="000000"/>
        </w:rPr>
        <w:t>applies the seller's preliminary deposit towards the selling agent's commission if there is an exchange of contracts and completion, but if the seller cancels the reservation or is unwilling to exchange contracts by the end of the agreed period it makes that preliminary deposit payable to the buyer, unless the seller has one of the listed acceptable reasons for withdrawing (see below) when it will be repayable to the seller.</w:t>
      </w:r>
    </w:p>
    <w:p w14:paraId="00000190" w14:textId="38CBE138" w:rsidR="006E4CBF" w:rsidRDefault="00F24F9B">
      <w:r>
        <w:t>The list of acceptable reasons for withdrawing will be tailored to suit the circumstances</w:t>
      </w:r>
      <w:r w:rsidR="00DD0FEB">
        <w:t xml:space="preserve">. </w:t>
      </w:r>
      <w:r>
        <w:t>It will normally allow the buyer to withdraw where the property has a defective legal title or where the results of conveyancing searches and enquiries reveal a serious adverse matter</w:t>
      </w:r>
      <w:r w:rsidR="00DD0FEB">
        <w:t xml:space="preserve">. </w:t>
      </w:r>
      <w:r>
        <w:t>In chain transactions it can allow a party to withdraw if unable to exchange contracts on a related sale or purchase</w:t>
      </w:r>
      <w:r w:rsidR="00DD0FEB">
        <w:t xml:space="preserve">. </w:t>
      </w:r>
      <w:r>
        <w:t>Where the buyer needs a mortgage, it can include where the mortgage is refused either for any reason or only where the property is valued at below the agreed purchase price</w:t>
      </w:r>
      <w:r w:rsidR="00DD0FEB">
        <w:t xml:space="preserve">. </w:t>
      </w:r>
      <w:r>
        <w:t>Where the buyer has special requirements for the property (such as the ability to keep a caravan or build an extension) it can include discovering that this may be prevented by some legal covenant, adverse right or planning restriction.</w:t>
      </w:r>
    </w:p>
    <w:p w14:paraId="00000191" w14:textId="77777777" w:rsidR="006E4CBF" w:rsidRDefault="00F24F9B">
      <w:pPr>
        <w:rPr>
          <w:b/>
          <w:bCs/>
        </w:rPr>
      </w:pPr>
      <w:r>
        <w:rPr>
          <w:b/>
          <w:bCs/>
        </w:rPr>
        <w:t>Is it right for you?</w:t>
      </w:r>
    </w:p>
    <w:p w14:paraId="00000192" w14:textId="77777777" w:rsidR="006E4CBF" w:rsidRDefault="00F24F9B">
      <w:r>
        <w:t>To establish whether this is right for you, you should consider:</w:t>
      </w:r>
    </w:p>
    <w:p w14:paraId="00000193" w14:textId="77777777" w:rsidR="006E4CBF" w:rsidRDefault="00F24F9B">
      <w:pPr>
        <w:numPr>
          <w:ilvl w:val="0"/>
          <w:numId w:val="6"/>
        </w:numPr>
        <w:spacing w:after="240"/>
        <w:jc w:val="both"/>
      </w:pPr>
      <w:r>
        <w:t>How committed do you want to be?</w:t>
      </w:r>
    </w:p>
    <w:p w14:paraId="00000194" w14:textId="77777777" w:rsidR="006E4CBF" w:rsidRDefault="00F24F9B">
      <w:pPr>
        <w:numPr>
          <w:ilvl w:val="0"/>
          <w:numId w:val="6"/>
        </w:numPr>
        <w:spacing w:after="240"/>
        <w:jc w:val="both"/>
      </w:pPr>
      <w:r>
        <w:t>Are you confident that you will obtain a mortgage for the amount you need?</w:t>
      </w:r>
    </w:p>
    <w:p w14:paraId="00000195" w14:textId="77777777" w:rsidR="006E4CBF" w:rsidRDefault="00F24F9B">
      <w:pPr>
        <w:numPr>
          <w:ilvl w:val="0"/>
          <w:numId w:val="6"/>
        </w:numPr>
        <w:spacing w:after="240"/>
        <w:jc w:val="both"/>
      </w:pPr>
      <w:r>
        <w:t>Do you know all the likely costs and SDLT and are you sure that you can afford these?</w:t>
      </w:r>
    </w:p>
    <w:p w14:paraId="00000196" w14:textId="77777777" w:rsidR="006E4CBF" w:rsidRDefault="00F24F9B">
      <w:pPr>
        <w:numPr>
          <w:ilvl w:val="0"/>
          <w:numId w:val="6"/>
        </w:numPr>
        <w:spacing w:after="240"/>
        <w:jc w:val="both"/>
      </w:pPr>
      <w:r>
        <w:t>Do you have a related sale/purchase – what stage has this reached?</w:t>
      </w:r>
    </w:p>
    <w:p w14:paraId="00000197" w14:textId="77777777" w:rsidR="006E4CBF" w:rsidRDefault="006E4CBF">
      <w:pPr>
        <w:rPr>
          <w:rFonts w:ascii="Aptos" w:eastAsia="Aptos" w:hAnsi="Aptos" w:cs="Aptos"/>
        </w:rPr>
      </w:pPr>
    </w:p>
    <w:sectPr w:rsidR="006E4CB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24806" w14:textId="77777777" w:rsidR="00B36FF0" w:rsidRDefault="00B36FF0">
      <w:pPr>
        <w:spacing w:after="0" w:line="240" w:lineRule="auto"/>
      </w:pPr>
      <w:r>
        <w:separator/>
      </w:r>
    </w:p>
  </w:endnote>
  <w:endnote w:type="continuationSeparator" w:id="0">
    <w:p w14:paraId="5E6E8277" w14:textId="77777777" w:rsidR="00B36FF0" w:rsidRDefault="00B36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3915994-8418-4AE2-BAA9-5F548B66315A}"/>
  </w:font>
  <w:font w:name="Calibri">
    <w:panose1 w:val="020F0502020204030204"/>
    <w:charset w:val="00"/>
    <w:family w:val="swiss"/>
    <w:pitch w:val="variable"/>
    <w:sig w:usb0="E4002EFF" w:usb1="C000247B" w:usb2="00000009" w:usb3="00000000" w:csb0="000001FF" w:csb1="00000000"/>
    <w:embedRegular r:id="rId2" w:fontKey="{4383A746-292C-4F9D-AC64-8CA6B39E240B}"/>
    <w:embedBold r:id="rId3" w:fontKey="{5CCA5441-FDF4-4C16-B0DC-52592845FB48}"/>
    <w:embedItalic r:id="rId4" w:fontKey="{5F4C8A00-A4C8-4C61-B27F-B90F4FDAD295}"/>
    <w:embedBoldItalic r:id="rId5" w:fontKey="{B6B0527B-324B-466D-85FE-A8BD084065CD}"/>
  </w:font>
  <w:font w:name="Cambria">
    <w:panose1 w:val="02040503050406030204"/>
    <w:charset w:val="00"/>
    <w:family w:val="roman"/>
    <w:pitch w:val="variable"/>
    <w:sig w:usb0="E00006FF" w:usb1="420024FF" w:usb2="02000000" w:usb3="00000000" w:csb0="0000019F" w:csb1="00000000"/>
    <w:embedRegular r:id="rId6" w:fontKey="{D194EAA1-A2B0-4136-B505-F33DF8AA4E47}"/>
    <w:embedBold r:id="rId7" w:fontKey="{04380283-26C9-4DAE-AD22-E8A62F9CEB88}"/>
    <w:embedItalic r:id="rId8" w:fontKey="{6FA388E4-3EFF-4C96-A7B9-ED047E5C4B29}"/>
    <w:embedBoldItalic r:id="rId9" w:fontKey="{AA629646-D7DC-43E6-8FDA-5681385271E0}"/>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Black">
    <w:charset w:val="00"/>
    <w:family w:val="swiss"/>
    <w:pitch w:val="variable"/>
    <w:sig w:usb0="20000287" w:usb1="00000003" w:usb2="00000000" w:usb3="00000000" w:csb0="0000019F" w:csb1="00000000"/>
    <w:embedRegular r:id="rId10" w:fontKey="{9CC51D72-81E9-4563-9369-E1158F5FCC78}"/>
  </w:font>
  <w:font w:name="Aptos">
    <w:charset w:val="00"/>
    <w:family w:val="swiss"/>
    <w:pitch w:val="variable"/>
    <w:sig w:usb0="20000287" w:usb1="00000003" w:usb2="00000000" w:usb3="00000000" w:csb0="0000019F" w:csb1="00000000"/>
    <w:embedRegular r:id="rId11" w:fontKey="{F3C088BE-52BA-4EDE-A652-DF93EA0B0921}"/>
    <w:embedBold r:id="rId12" w:fontKey="{3888F165-8C46-42F0-A622-0A38D6FC978D}"/>
    <w:embedItalic r:id="rId13" w:fontKey="{1B083E9C-BD54-4071-8DD9-BFF7605FE9B1}"/>
  </w:font>
  <w:font w:name="Roboto">
    <w:charset w:val="00"/>
    <w:family w:val="auto"/>
    <w:pitch w:val="variable"/>
    <w:sig w:usb0="E0000AFF" w:usb1="5000217F" w:usb2="00000021" w:usb3="00000000" w:csb0="0000019F" w:csb1="00000000"/>
    <w:embedRegular r:id="rId14" w:fontKey="{CCD8D092-05B8-4B0A-A0F7-875A3F12D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F" w14:textId="77777777" w:rsidR="006E4CBF" w:rsidRDefault="006E4CB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0" w14:textId="77777777" w:rsidR="006E4CBF" w:rsidRDefault="006E4CB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1" w14:textId="77777777" w:rsidR="006E4CBF" w:rsidRDefault="006E4CB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9BB07" w14:textId="77777777" w:rsidR="00B36FF0" w:rsidRDefault="00B36FF0">
      <w:pPr>
        <w:spacing w:after="0" w:line="240" w:lineRule="auto"/>
      </w:pPr>
      <w:r>
        <w:separator/>
      </w:r>
    </w:p>
  </w:footnote>
  <w:footnote w:type="continuationSeparator" w:id="0">
    <w:p w14:paraId="246F7FC3" w14:textId="77777777" w:rsidR="00B36FF0" w:rsidRDefault="00B36FF0">
      <w:pPr>
        <w:spacing w:after="0" w:line="240" w:lineRule="auto"/>
      </w:pPr>
      <w:r>
        <w:continuationSeparator/>
      </w:r>
    </w:p>
  </w:footnote>
  <w:footnote w:id="1">
    <w:p w14:paraId="4502DE10" w14:textId="1A00C386" w:rsidR="003B4C12" w:rsidRPr="003B4C12" w:rsidRDefault="003B4C12">
      <w:pPr>
        <w:pStyle w:val="FootnoteText"/>
        <w:rPr>
          <w:lang w:val="en-GB"/>
        </w:rPr>
      </w:pPr>
      <w:r>
        <w:rPr>
          <w:rStyle w:val="FootnoteReference"/>
        </w:rPr>
        <w:footnoteRef/>
      </w:r>
      <w:r>
        <w:t xml:space="preserve"> </w:t>
      </w:r>
      <w:r>
        <w:rPr>
          <w:lang w:val="en-GB"/>
        </w:rPr>
        <w:t>3,588 firms submitted applications for registration to HMLR in Oct 2025</w:t>
      </w:r>
    </w:p>
  </w:footnote>
  <w:footnote w:id="2">
    <w:p w14:paraId="2A39403E" w14:textId="56AA1CC4" w:rsidR="003B4C12" w:rsidRPr="003B4C12" w:rsidRDefault="003B4C12">
      <w:pPr>
        <w:pStyle w:val="FootnoteText"/>
        <w:rPr>
          <w:lang w:val="en-GB"/>
        </w:rPr>
      </w:pPr>
      <w:r>
        <w:rPr>
          <w:rStyle w:val="FootnoteReference"/>
        </w:rPr>
        <w:footnoteRef/>
      </w:r>
      <w:r>
        <w:t xml:space="preserve"> </w:t>
      </w:r>
      <w:r>
        <w:rPr>
          <w:lang w:val="en-GB"/>
        </w:rPr>
        <w:t>IBISWorld</w:t>
      </w:r>
    </w:p>
  </w:footnote>
  <w:footnote w:id="3">
    <w:p w14:paraId="727A7152" w14:textId="6E7A7A99" w:rsidR="003665EC" w:rsidRPr="003665EC" w:rsidRDefault="003665EC">
      <w:pPr>
        <w:pStyle w:val="FootnoteText"/>
        <w:rPr>
          <w:lang w:val="en-GB"/>
        </w:rPr>
      </w:pPr>
      <w:r>
        <w:rPr>
          <w:rStyle w:val="FootnoteReference"/>
        </w:rPr>
        <w:footnoteRef/>
      </w:r>
      <w:r>
        <w:t xml:space="preserve"> </w:t>
      </w:r>
      <w:r w:rsidRPr="003665EC">
        <w:t>Kahneman &amp; Tversky (1979) – Prospect Theory</w:t>
      </w:r>
    </w:p>
  </w:footnote>
  <w:footnote w:id="4">
    <w:p w14:paraId="00000198" w14:textId="2088BFF1" w:rsidR="006E4CBF" w:rsidRDefault="00F24F9B">
      <w:pPr>
        <w:pBdr>
          <w:top w:val="nil"/>
          <w:left w:val="nil"/>
          <w:bottom w:val="nil"/>
          <w:right w:val="nil"/>
          <w:between w:val="nil"/>
        </w:pBdr>
        <w:spacing w:after="12"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Delete if cash buyer. If included, choose which alternative applies</w:t>
      </w:r>
      <w:r w:rsidR="00DD0FEB">
        <w:rPr>
          <w:rFonts w:ascii="Calibri" w:eastAsia="Calibri" w:hAnsi="Calibri" w:cs="Calibri"/>
          <w:color w:val="000000"/>
          <w:sz w:val="20"/>
          <w:szCs w:val="20"/>
        </w:rPr>
        <w:t xml:space="preserve">. </w:t>
      </w:r>
    </w:p>
  </w:footnote>
  <w:footnote w:id="5">
    <w:p w14:paraId="00000199" w14:textId="4060F1FA" w:rsidR="006E4CBF" w:rsidRDefault="00F24F9B">
      <w:pPr>
        <w:pBdr>
          <w:top w:val="nil"/>
          <w:left w:val="nil"/>
          <w:bottom w:val="nil"/>
          <w:right w:val="nil"/>
          <w:between w:val="nil"/>
        </w:pBdr>
        <w:spacing w:after="1"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Delete where the property is sold on the basis that repair/rebuilding may be needed</w:t>
      </w:r>
      <w:r w:rsidR="00DD0FEB">
        <w:rPr>
          <w:rFonts w:ascii="Calibri" w:eastAsia="Calibri" w:hAnsi="Calibri" w:cs="Calibri"/>
          <w:color w:val="000000"/>
          <w:sz w:val="20"/>
          <w:szCs w:val="20"/>
        </w:rPr>
        <w:t xml:space="preserve">. </w:t>
      </w:r>
    </w:p>
  </w:footnote>
  <w:footnote w:id="6">
    <w:p w14:paraId="0000019A" w14:textId="77777777" w:rsidR="006E4CBF" w:rsidRDefault="00F24F9B">
      <w:pPr>
        <w:pBdr>
          <w:top w:val="nil"/>
          <w:left w:val="nil"/>
          <w:bottom w:val="nil"/>
          <w:right w:val="nil"/>
          <w:between w:val="nil"/>
        </w:pBdr>
        <w:spacing w:after="0" w:line="259"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Delete unless the seller accepts that the buyer has particular requirements, in which case insert them. </w:t>
      </w:r>
    </w:p>
  </w:footnote>
  <w:footnote w:id="7">
    <w:p w14:paraId="0000019B" w14:textId="77777777" w:rsidR="006E4CBF" w:rsidRDefault="00F24F9B">
      <w:pPr>
        <w:pBdr>
          <w:top w:val="nil"/>
          <w:left w:val="nil"/>
          <w:bottom w:val="nil"/>
          <w:right w:val="nil"/>
          <w:between w:val="nil"/>
        </w:pBdr>
        <w:spacing w:after="0" w:line="265" w:lineRule="auto"/>
        <w:ind w:right="5198"/>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Delete where the Buyer is chain-free. </w:t>
      </w:r>
      <w:r>
        <w:rPr>
          <w:rFonts w:ascii="Calibri" w:eastAsia="Calibri" w:hAnsi="Calibri" w:cs="Calibri"/>
          <w:color w:val="000000"/>
          <w:sz w:val="20"/>
          <w:szCs w:val="20"/>
          <w:vertAlign w:val="superscript"/>
        </w:rPr>
        <w:t>5</w:t>
      </w:r>
      <w:r>
        <w:rPr>
          <w:rFonts w:ascii="Calibri" w:eastAsia="Calibri" w:hAnsi="Calibri" w:cs="Calibri"/>
          <w:color w:val="000000"/>
          <w:sz w:val="20"/>
          <w:szCs w:val="20"/>
        </w:rPr>
        <w:t xml:space="preserve"> Delete where the Seller is chain-free.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C" w14:textId="77777777" w:rsidR="006E4CBF" w:rsidRDefault="006E4CB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D" w14:textId="40B0BCBF" w:rsidR="006E4CBF" w:rsidRDefault="006E4CB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E" w14:textId="77777777" w:rsidR="006E4CBF" w:rsidRDefault="006E4CB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002"/>
    <w:multiLevelType w:val="hybridMultilevel"/>
    <w:tmpl w:val="C0C61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5F1E"/>
    <w:multiLevelType w:val="hybridMultilevel"/>
    <w:tmpl w:val="83A0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41A81"/>
    <w:multiLevelType w:val="hybridMultilevel"/>
    <w:tmpl w:val="F8022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53333"/>
    <w:multiLevelType w:val="hybridMultilevel"/>
    <w:tmpl w:val="F5CA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7D56"/>
    <w:multiLevelType w:val="hybridMultilevel"/>
    <w:tmpl w:val="415C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55ABE"/>
    <w:multiLevelType w:val="hybridMultilevel"/>
    <w:tmpl w:val="0E46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A04FA"/>
    <w:multiLevelType w:val="hybridMultilevel"/>
    <w:tmpl w:val="536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82599"/>
    <w:multiLevelType w:val="hybridMultilevel"/>
    <w:tmpl w:val="0DC8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D62D6"/>
    <w:multiLevelType w:val="hybridMultilevel"/>
    <w:tmpl w:val="D738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374FB"/>
    <w:multiLevelType w:val="hybridMultilevel"/>
    <w:tmpl w:val="06E8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03E98"/>
    <w:multiLevelType w:val="hybridMultilevel"/>
    <w:tmpl w:val="422C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95583"/>
    <w:multiLevelType w:val="multilevel"/>
    <w:tmpl w:val="707CB498"/>
    <w:lvl w:ilvl="0">
      <w:start w:val="1"/>
      <w:numFmt w:val="bullet"/>
      <w:pStyle w:val="ListNumber2"/>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FD564B4"/>
    <w:multiLevelType w:val="hybridMultilevel"/>
    <w:tmpl w:val="E2B4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640BC"/>
    <w:multiLevelType w:val="multilevel"/>
    <w:tmpl w:val="7A8CB610"/>
    <w:lvl w:ilvl="0">
      <w:start w:val="1"/>
      <w:numFmt w:val="decimal"/>
      <w:pStyle w:val="MdR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A543F4"/>
    <w:multiLevelType w:val="hybridMultilevel"/>
    <w:tmpl w:val="4D88F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DD2368"/>
    <w:multiLevelType w:val="hybridMultilevel"/>
    <w:tmpl w:val="5A58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EE372B"/>
    <w:multiLevelType w:val="hybridMultilevel"/>
    <w:tmpl w:val="4792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77D94"/>
    <w:multiLevelType w:val="hybridMultilevel"/>
    <w:tmpl w:val="D2B8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A6D87"/>
    <w:multiLevelType w:val="hybridMultilevel"/>
    <w:tmpl w:val="6BE6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27062"/>
    <w:multiLevelType w:val="hybridMultilevel"/>
    <w:tmpl w:val="486E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CB5A22"/>
    <w:multiLevelType w:val="multilevel"/>
    <w:tmpl w:val="1D628E62"/>
    <w:lvl w:ilvl="0">
      <w:start w:val="2"/>
      <w:numFmt w:val="lowerLetter"/>
      <w:pStyle w:val="ListBullet2"/>
      <w:lvlText w:val="(%1)"/>
      <w:lvlJc w:val="left"/>
      <w:pPr>
        <w:ind w:left="1257" w:hanging="1257"/>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908" w:hanging="1908"/>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2628" w:hanging="2628"/>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3348" w:hanging="3348"/>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4068" w:hanging="4068"/>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788" w:hanging="4788"/>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5508" w:hanging="5508"/>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6228" w:hanging="6228"/>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948" w:hanging="6948"/>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1" w15:restartNumberingAfterBreak="0">
    <w:nsid w:val="305C7B97"/>
    <w:multiLevelType w:val="hybridMultilevel"/>
    <w:tmpl w:val="67802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9D548E"/>
    <w:multiLevelType w:val="hybridMultilevel"/>
    <w:tmpl w:val="3128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16C07"/>
    <w:multiLevelType w:val="hybridMultilevel"/>
    <w:tmpl w:val="DD0C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B83B43"/>
    <w:multiLevelType w:val="hybridMultilevel"/>
    <w:tmpl w:val="76A0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E6D6A"/>
    <w:multiLevelType w:val="hybridMultilevel"/>
    <w:tmpl w:val="86C2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147D0"/>
    <w:multiLevelType w:val="hybridMultilevel"/>
    <w:tmpl w:val="70FC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737913"/>
    <w:multiLevelType w:val="hybridMultilevel"/>
    <w:tmpl w:val="4A7C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D11822"/>
    <w:multiLevelType w:val="hybridMultilevel"/>
    <w:tmpl w:val="F6EE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835615"/>
    <w:multiLevelType w:val="hybridMultilevel"/>
    <w:tmpl w:val="6176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02724"/>
    <w:multiLevelType w:val="hybridMultilevel"/>
    <w:tmpl w:val="77A0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F32910"/>
    <w:multiLevelType w:val="multilevel"/>
    <w:tmpl w:val="FF503962"/>
    <w:lvl w:ilvl="0">
      <w:start w:val="1"/>
      <w:numFmt w:val="lowerLetter"/>
      <w:lvlText w:val="(%1)"/>
      <w:lvlJc w:val="left"/>
      <w:pPr>
        <w:ind w:left="1124" w:hanging="360"/>
      </w:pPr>
    </w:lvl>
    <w:lvl w:ilvl="1">
      <w:start w:val="1"/>
      <w:numFmt w:val="lowerLetter"/>
      <w:lvlText w:val="%2."/>
      <w:lvlJc w:val="left"/>
      <w:pPr>
        <w:ind w:left="1844" w:hanging="360"/>
      </w:pPr>
    </w:lvl>
    <w:lvl w:ilvl="2">
      <w:start w:val="1"/>
      <w:numFmt w:val="lowerRoman"/>
      <w:lvlText w:val="%3."/>
      <w:lvlJc w:val="right"/>
      <w:pPr>
        <w:ind w:left="2564" w:hanging="180"/>
      </w:pPr>
    </w:lvl>
    <w:lvl w:ilvl="3">
      <w:start w:val="1"/>
      <w:numFmt w:val="decimal"/>
      <w:lvlText w:val="%4."/>
      <w:lvlJc w:val="left"/>
      <w:pPr>
        <w:ind w:left="3284" w:hanging="360"/>
      </w:pPr>
    </w:lvl>
    <w:lvl w:ilvl="4">
      <w:start w:val="1"/>
      <w:numFmt w:val="lowerLetter"/>
      <w:lvlText w:val="%5."/>
      <w:lvlJc w:val="left"/>
      <w:pPr>
        <w:ind w:left="4004" w:hanging="360"/>
      </w:pPr>
    </w:lvl>
    <w:lvl w:ilvl="5">
      <w:start w:val="1"/>
      <w:numFmt w:val="lowerRoman"/>
      <w:lvlText w:val="%6."/>
      <w:lvlJc w:val="right"/>
      <w:pPr>
        <w:ind w:left="4724" w:hanging="180"/>
      </w:pPr>
    </w:lvl>
    <w:lvl w:ilvl="6">
      <w:start w:val="1"/>
      <w:numFmt w:val="decimal"/>
      <w:lvlText w:val="%7."/>
      <w:lvlJc w:val="left"/>
      <w:pPr>
        <w:ind w:left="5444" w:hanging="360"/>
      </w:pPr>
    </w:lvl>
    <w:lvl w:ilvl="7">
      <w:start w:val="1"/>
      <w:numFmt w:val="lowerLetter"/>
      <w:lvlText w:val="%8."/>
      <w:lvlJc w:val="left"/>
      <w:pPr>
        <w:ind w:left="6164" w:hanging="360"/>
      </w:pPr>
    </w:lvl>
    <w:lvl w:ilvl="8">
      <w:start w:val="1"/>
      <w:numFmt w:val="lowerRoman"/>
      <w:lvlText w:val="%9."/>
      <w:lvlJc w:val="right"/>
      <w:pPr>
        <w:ind w:left="6884" w:hanging="180"/>
      </w:pPr>
    </w:lvl>
  </w:abstractNum>
  <w:abstractNum w:abstractNumId="32" w15:restartNumberingAfterBreak="0">
    <w:nsid w:val="437F1A5C"/>
    <w:multiLevelType w:val="hybridMultilevel"/>
    <w:tmpl w:val="F238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8853BC"/>
    <w:multiLevelType w:val="multilevel"/>
    <w:tmpl w:val="1A0A6C54"/>
    <w:lvl w:ilvl="0">
      <w:start w:val="1"/>
      <w:numFmt w:val="bullet"/>
      <w:pStyle w:val="ListNumber"/>
      <w:lvlText w:val="●"/>
      <w:lvlJc w:val="left"/>
      <w:pPr>
        <w:ind w:left="794" w:hanging="794"/>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4AB952E2"/>
    <w:multiLevelType w:val="hybridMultilevel"/>
    <w:tmpl w:val="DE88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5707C9"/>
    <w:multiLevelType w:val="hybridMultilevel"/>
    <w:tmpl w:val="C60A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FD0B67"/>
    <w:multiLevelType w:val="hybridMultilevel"/>
    <w:tmpl w:val="4476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EC2F05"/>
    <w:multiLevelType w:val="hybridMultilevel"/>
    <w:tmpl w:val="FC7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A7521A"/>
    <w:multiLevelType w:val="hybridMultilevel"/>
    <w:tmpl w:val="F7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8F74EF"/>
    <w:multiLevelType w:val="hybridMultilevel"/>
    <w:tmpl w:val="6A2A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C665C2"/>
    <w:multiLevelType w:val="hybridMultilevel"/>
    <w:tmpl w:val="0FB8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2C0A5D"/>
    <w:multiLevelType w:val="hybridMultilevel"/>
    <w:tmpl w:val="81668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524E0F"/>
    <w:multiLevelType w:val="hybridMultilevel"/>
    <w:tmpl w:val="D7EE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656AEA"/>
    <w:multiLevelType w:val="hybridMultilevel"/>
    <w:tmpl w:val="C0F0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7A1F66"/>
    <w:multiLevelType w:val="multilevel"/>
    <w:tmpl w:val="62082A74"/>
    <w:lvl w:ilvl="0">
      <w:start w:val="7"/>
      <w:numFmt w:val="decimal"/>
      <w:pStyle w:val="ListBullet3"/>
      <w:lvlText w:val="%1."/>
      <w:lvlJc w:val="left"/>
      <w:pPr>
        <w:ind w:left="440" w:hanging="44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140" w:hanging="11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60" w:hanging="18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80" w:hanging="25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300" w:hanging="33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020" w:hanging="40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740" w:hanging="47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60" w:hanging="54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80" w:hanging="61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5" w15:restartNumberingAfterBreak="0">
    <w:nsid w:val="691C1547"/>
    <w:multiLevelType w:val="hybridMultilevel"/>
    <w:tmpl w:val="0182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E119C0"/>
    <w:multiLevelType w:val="hybridMultilevel"/>
    <w:tmpl w:val="00A04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E71506"/>
    <w:multiLevelType w:val="hybridMultilevel"/>
    <w:tmpl w:val="5732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803CB9"/>
    <w:multiLevelType w:val="multilevel"/>
    <w:tmpl w:val="7AAEE5E2"/>
    <w:lvl w:ilvl="0">
      <w:start w:val="1"/>
      <w:numFmt w:val="bullet"/>
      <w:pStyle w:val="ListNumber3"/>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D8D1244"/>
    <w:multiLevelType w:val="hybridMultilevel"/>
    <w:tmpl w:val="743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114B59"/>
    <w:multiLevelType w:val="hybridMultilevel"/>
    <w:tmpl w:val="936AF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F501B2E"/>
    <w:multiLevelType w:val="hybridMultilevel"/>
    <w:tmpl w:val="E1C4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65612F"/>
    <w:multiLevelType w:val="hybridMultilevel"/>
    <w:tmpl w:val="4CEE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F065B4"/>
    <w:multiLevelType w:val="hybridMultilevel"/>
    <w:tmpl w:val="F824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7A65E6"/>
    <w:multiLevelType w:val="multilevel"/>
    <w:tmpl w:val="091E02E4"/>
    <w:lvl w:ilvl="0">
      <w:start w:val="1"/>
      <w:numFmt w:val="decimal"/>
      <w:pStyle w:val="ListBullet"/>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2)"/>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504" w:hanging="1504"/>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224" w:hanging="2224"/>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2944" w:hanging="2944"/>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664" w:hanging="3664"/>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384" w:hanging="4384"/>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104" w:hanging="5104"/>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5824" w:hanging="5824"/>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55" w15:restartNumberingAfterBreak="0">
    <w:nsid w:val="7A2A7824"/>
    <w:multiLevelType w:val="hybridMultilevel"/>
    <w:tmpl w:val="872A0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077A4"/>
    <w:multiLevelType w:val="hybridMultilevel"/>
    <w:tmpl w:val="2116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5745C8"/>
    <w:multiLevelType w:val="hybridMultilevel"/>
    <w:tmpl w:val="9AEC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582F4E"/>
    <w:multiLevelType w:val="hybridMultilevel"/>
    <w:tmpl w:val="1124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257653">
    <w:abstractNumId w:val="54"/>
  </w:num>
  <w:num w:numId="2" w16cid:durableId="613365450">
    <w:abstractNumId w:val="20"/>
  </w:num>
  <w:num w:numId="3" w16cid:durableId="1804350150">
    <w:abstractNumId w:val="44"/>
  </w:num>
  <w:num w:numId="4" w16cid:durableId="838695002">
    <w:abstractNumId w:val="31"/>
  </w:num>
  <w:num w:numId="5" w16cid:durableId="1710715096">
    <w:abstractNumId w:val="33"/>
  </w:num>
  <w:num w:numId="6" w16cid:durableId="985746049">
    <w:abstractNumId w:val="11"/>
  </w:num>
  <w:num w:numId="7" w16cid:durableId="1886287579">
    <w:abstractNumId w:val="48"/>
  </w:num>
  <w:num w:numId="8" w16cid:durableId="38207604">
    <w:abstractNumId w:val="13"/>
  </w:num>
  <w:num w:numId="9" w16cid:durableId="937904554">
    <w:abstractNumId w:val="50"/>
  </w:num>
  <w:num w:numId="10" w16cid:durableId="1314677183">
    <w:abstractNumId w:val="21"/>
  </w:num>
  <w:num w:numId="11" w16cid:durableId="1676768069">
    <w:abstractNumId w:val="41"/>
  </w:num>
  <w:num w:numId="12" w16cid:durableId="1634601079">
    <w:abstractNumId w:val="43"/>
  </w:num>
  <w:num w:numId="13" w16cid:durableId="132792813">
    <w:abstractNumId w:val="40"/>
  </w:num>
  <w:num w:numId="14" w16cid:durableId="245384929">
    <w:abstractNumId w:val="49"/>
  </w:num>
  <w:num w:numId="15" w16cid:durableId="1245147657">
    <w:abstractNumId w:val="8"/>
  </w:num>
  <w:num w:numId="16" w16cid:durableId="605888713">
    <w:abstractNumId w:val="52"/>
  </w:num>
  <w:num w:numId="17" w16cid:durableId="1862355176">
    <w:abstractNumId w:val="12"/>
  </w:num>
  <w:num w:numId="18" w16cid:durableId="1350378308">
    <w:abstractNumId w:val="7"/>
  </w:num>
  <w:num w:numId="19" w16cid:durableId="1486122651">
    <w:abstractNumId w:val="51"/>
  </w:num>
  <w:num w:numId="20" w16cid:durableId="764495755">
    <w:abstractNumId w:val="53"/>
  </w:num>
  <w:num w:numId="21" w16cid:durableId="413744782">
    <w:abstractNumId w:val="57"/>
  </w:num>
  <w:num w:numId="22" w16cid:durableId="1992439168">
    <w:abstractNumId w:val="9"/>
  </w:num>
  <w:num w:numId="23" w16cid:durableId="758907312">
    <w:abstractNumId w:val="55"/>
  </w:num>
  <w:num w:numId="24" w16cid:durableId="765687719">
    <w:abstractNumId w:val="18"/>
  </w:num>
  <w:num w:numId="25" w16cid:durableId="866062762">
    <w:abstractNumId w:val="36"/>
  </w:num>
  <w:num w:numId="26" w16cid:durableId="1105004594">
    <w:abstractNumId w:val="16"/>
  </w:num>
  <w:num w:numId="27" w16cid:durableId="1857495182">
    <w:abstractNumId w:val="2"/>
  </w:num>
  <w:num w:numId="28" w16cid:durableId="1375421592">
    <w:abstractNumId w:val="35"/>
  </w:num>
  <w:num w:numId="29" w16cid:durableId="318729835">
    <w:abstractNumId w:val="26"/>
  </w:num>
  <w:num w:numId="30" w16cid:durableId="1031763103">
    <w:abstractNumId w:val="23"/>
  </w:num>
  <w:num w:numId="31" w16cid:durableId="1885671692">
    <w:abstractNumId w:val="24"/>
  </w:num>
  <w:num w:numId="32" w16cid:durableId="961768360">
    <w:abstractNumId w:val="42"/>
  </w:num>
  <w:num w:numId="33" w16cid:durableId="1174109269">
    <w:abstractNumId w:val="14"/>
  </w:num>
  <w:num w:numId="34" w16cid:durableId="1871068344">
    <w:abstractNumId w:val="3"/>
  </w:num>
  <w:num w:numId="35" w16cid:durableId="1615940256">
    <w:abstractNumId w:val="5"/>
  </w:num>
  <w:num w:numId="36" w16cid:durableId="146627205">
    <w:abstractNumId w:val="38"/>
  </w:num>
  <w:num w:numId="37" w16cid:durableId="1030032832">
    <w:abstractNumId w:val="10"/>
  </w:num>
  <w:num w:numId="38" w16cid:durableId="134613700">
    <w:abstractNumId w:val="25"/>
  </w:num>
  <w:num w:numId="39" w16cid:durableId="1959214049">
    <w:abstractNumId w:val="39"/>
  </w:num>
  <w:num w:numId="40" w16cid:durableId="1498883927">
    <w:abstractNumId w:val="58"/>
  </w:num>
  <w:num w:numId="41" w16cid:durableId="1286890919">
    <w:abstractNumId w:val="4"/>
  </w:num>
  <w:num w:numId="42" w16cid:durableId="1045328390">
    <w:abstractNumId w:val="15"/>
  </w:num>
  <w:num w:numId="43" w16cid:durableId="1890805081">
    <w:abstractNumId w:val="32"/>
  </w:num>
  <w:num w:numId="44" w16cid:durableId="319698575">
    <w:abstractNumId w:val="37"/>
  </w:num>
  <w:num w:numId="45" w16cid:durableId="1739357610">
    <w:abstractNumId w:val="27"/>
  </w:num>
  <w:num w:numId="46" w16cid:durableId="280108384">
    <w:abstractNumId w:val="6"/>
  </w:num>
  <w:num w:numId="47" w16cid:durableId="514803127">
    <w:abstractNumId w:val="22"/>
  </w:num>
  <w:num w:numId="48" w16cid:durableId="1697463845">
    <w:abstractNumId w:val="30"/>
  </w:num>
  <w:num w:numId="49" w16cid:durableId="299068438">
    <w:abstractNumId w:val="45"/>
  </w:num>
  <w:num w:numId="50" w16cid:durableId="71661542">
    <w:abstractNumId w:val="56"/>
  </w:num>
  <w:num w:numId="51" w16cid:durableId="2108383951">
    <w:abstractNumId w:val="46"/>
  </w:num>
  <w:num w:numId="52" w16cid:durableId="2137868870">
    <w:abstractNumId w:val="19"/>
  </w:num>
  <w:num w:numId="53" w16cid:durableId="990064990">
    <w:abstractNumId w:val="17"/>
  </w:num>
  <w:num w:numId="54" w16cid:durableId="1014847026">
    <w:abstractNumId w:val="1"/>
  </w:num>
  <w:num w:numId="55" w16cid:durableId="1522159290">
    <w:abstractNumId w:val="47"/>
  </w:num>
  <w:num w:numId="56" w16cid:durableId="1055592363">
    <w:abstractNumId w:val="34"/>
  </w:num>
  <w:num w:numId="57" w16cid:durableId="1715471564">
    <w:abstractNumId w:val="29"/>
  </w:num>
  <w:num w:numId="58" w16cid:durableId="1252425219">
    <w:abstractNumId w:val="0"/>
  </w:num>
  <w:num w:numId="59" w16cid:durableId="21084977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CBF"/>
    <w:rsid w:val="00026C96"/>
    <w:rsid w:val="00032B7C"/>
    <w:rsid w:val="00091451"/>
    <w:rsid w:val="000B74D1"/>
    <w:rsid w:val="000C2F18"/>
    <w:rsid w:val="00103289"/>
    <w:rsid w:val="001739F6"/>
    <w:rsid w:val="0019725D"/>
    <w:rsid w:val="001A4B96"/>
    <w:rsid w:val="001B5EE2"/>
    <w:rsid w:val="001E239F"/>
    <w:rsid w:val="001E2B64"/>
    <w:rsid w:val="00240A0D"/>
    <w:rsid w:val="00260B4C"/>
    <w:rsid w:val="00284A42"/>
    <w:rsid w:val="002A6984"/>
    <w:rsid w:val="0030773E"/>
    <w:rsid w:val="00331F3B"/>
    <w:rsid w:val="003665EC"/>
    <w:rsid w:val="00376AB0"/>
    <w:rsid w:val="003B4C12"/>
    <w:rsid w:val="00441058"/>
    <w:rsid w:val="00487CB3"/>
    <w:rsid w:val="004D0D86"/>
    <w:rsid w:val="004D508C"/>
    <w:rsid w:val="004E4ACB"/>
    <w:rsid w:val="004F0CF3"/>
    <w:rsid w:val="0053750C"/>
    <w:rsid w:val="00565265"/>
    <w:rsid w:val="005A7E04"/>
    <w:rsid w:val="005D5CA5"/>
    <w:rsid w:val="005F11B6"/>
    <w:rsid w:val="006105C4"/>
    <w:rsid w:val="00662F82"/>
    <w:rsid w:val="006A735D"/>
    <w:rsid w:val="006B33AC"/>
    <w:rsid w:val="006E4CBF"/>
    <w:rsid w:val="006F50E1"/>
    <w:rsid w:val="00700064"/>
    <w:rsid w:val="007251F7"/>
    <w:rsid w:val="00743EB7"/>
    <w:rsid w:val="00765730"/>
    <w:rsid w:val="007A5372"/>
    <w:rsid w:val="007C7E1B"/>
    <w:rsid w:val="007F6437"/>
    <w:rsid w:val="00847826"/>
    <w:rsid w:val="00855DAE"/>
    <w:rsid w:val="00884F9E"/>
    <w:rsid w:val="008B3E14"/>
    <w:rsid w:val="008F225A"/>
    <w:rsid w:val="00902B1F"/>
    <w:rsid w:val="009321B9"/>
    <w:rsid w:val="00980C4D"/>
    <w:rsid w:val="00997287"/>
    <w:rsid w:val="009A2F18"/>
    <w:rsid w:val="009D56B1"/>
    <w:rsid w:val="009D62C6"/>
    <w:rsid w:val="00A13B83"/>
    <w:rsid w:val="00A17FEF"/>
    <w:rsid w:val="00A3415A"/>
    <w:rsid w:val="00AB57A9"/>
    <w:rsid w:val="00AD25B3"/>
    <w:rsid w:val="00B36FF0"/>
    <w:rsid w:val="00B744D8"/>
    <w:rsid w:val="00BC35A4"/>
    <w:rsid w:val="00BD29DE"/>
    <w:rsid w:val="00BD6D9F"/>
    <w:rsid w:val="00C01C0C"/>
    <w:rsid w:val="00C179B6"/>
    <w:rsid w:val="00C34906"/>
    <w:rsid w:val="00C547D5"/>
    <w:rsid w:val="00C71DA7"/>
    <w:rsid w:val="00D25B20"/>
    <w:rsid w:val="00D34E52"/>
    <w:rsid w:val="00D5060E"/>
    <w:rsid w:val="00D61C8F"/>
    <w:rsid w:val="00D92E10"/>
    <w:rsid w:val="00DB2194"/>
    <w:rsid w:val="00DC1B29"/>
    <w:rsid w:val="00DC1B96"/>
    <w:rsid w:val="00DD0FEB"/>
    <w:rsid w:val="00E4174E"/>
    <w:rsid w:val="00E45591"/>
    <w:rsid w:val="00E51ACB"/>
    <w:rsid w:val="00EB4F55"/>
    <w:rsid w:val="00EB69F2"/>
    <w:rsid w:val="00ED672A"/>
    <w:rsid w:val="00F02E9B"/>
    <w:rsid w:val="00F24F9B"/>
    <w:rsid w:val="00F3170E"/>
    <w:rsid w:val="00F462AE"/>
    <w:rsid w:val="00F9731C"/>
    <w:rsid w:val="00FA73A6"/>
    <w:rsid w:val="00FC3F46"/>
    <w:rsid w:val="00FD4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ACBB16A"/>
  <w15:docId w15:val="{3B099E8E-8DA2-4967-9510-9BE86972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460EB"/>
    <w:rPr>
      <w:color w:val="0000FF" w:themeColor="hyperlink"/>
      <w:u w:val="single"/>
    </w:rPr>
  </w:style>
  <w:style w:type="character" w:styleId="UnresolvedMention">
    <w:name w:val="Unresolved Mention"/>
    <w:basedOn w:val="DefaultParagraphFont"/>
    <w:uiPriority w:val="99"/>
    <w:semiHidden/>
    <w:unhideWhenUsed/>
    <w:rsid w:val="000460EB"/>
    <w:rPr>
      <w:color w:val="605E5C"/>
      <w:shd w:val="clear" w:color="auto" w:fill="E1DFDD"/>
    </w:rPr>
  </w:style>
  <w:style w:type="table" w:customStyle="1" w:styleId="TableGrid0">
    <w:name w:val="TableGrid"/>
    <w:rsid w:val="004463D9"/>
    <w:pPr>
      <w:spacing w:after="0" w:line="240" w:lineRule="auto"/>
    </w:pPr>
    <w:rPr>
      <w:kern w:val="2"/>
      <w:sz w:val="24"/>
      <w:szCs w:val="24"/>
      <w:lang w:val="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3F2944"/>
    <w:pPr>
      <w:spacing w:after="1" w:line="259" w:lineRule="auto"/>
    </w:pPr>
    <w:rPr>
      <w:rFonts w:ascii="Calibri" w:eastAsia="Calibri" w:hAnsi="Calibri" w:cs="Calibri"/>
      <w:color w:val="000000"/>
      <w:kern w:val="2"/>
      <w:sz w:val="20"/>
      <w:szCs w:val="24"/>
      <w:lang w:val="en-GB"/>
    </w:rPr>
  </w:style>
  <w:style w:type="character" w:customStyle="1" w:styleId="footnotedescriptionChar">
    <w:name w:val="footnote description Char"/>
    <w:link w:val="footnotedescription"/>
    <w:rsid w:val="003F2944"/>
    <w:rPr>
      <w:rFonts w:ascii="Calibri" w:eastAsia="Calibri" w:hAnsi="Calibri" w:cs="Calibri"/>
      <w:color w:val="000000"/>
      <w:kern w:val="2"/>
      <w:sz w:val="20"/>
      <w:szCs w:val="24"/>
      <w:lang w:val="en-GB" w:eastAsia="en-GB"/>
    </w:rPr>
  </w:style>
  <w:style w:type="character" w:customStyle="1" w:styleId="footnotemark">
    <w:name w:val="footnote mark"/>
    <w:hidden/>
    <w:rsid w:val="003F2944"/>
    <w:rPr>
      <w:rFonts w:ascii="Calibri" w:eastAsia="Calibri" w:hAnsi="Calibri" w:cs="Calibri"/>
      <w:color w:val="000000"/>
      <w:sz w:val="20"/>
      <w:vertAlign w:val="superscript"/>
    </w:rPr>
  </w:style>
  <w:style w:type="paragraph" w:customStyle="1" w:styleId="MdRBullets">
    <w:name w:val="MdR Bullets"/>
    <w:basedOn w:val="Normal"/>
    <w:link w:val="MdRBulletsChar"/>
    <w:qFormat/>
    <w:locked/>
    <w:rsid w:val="00E26BEE"/>
    <w:pPr>
      <w:numPr>
        <w:numId w:val="8"/>
      </w:numPr>
      <w:spacing w:after="240" w:line="260" w:lineRule="atLeast"/>
      <w:jc w:val="both"/>
    </w:pPr>
    <w:rPr>
      <w:lang w:val="en-GB"/>
    </w:rPr>
  </w:style>
  <w:style w:type="character" w:customStyle="1" w:styleId="MdRBulletsChar">
    <w:name w:val="MdR Bullets Char"/>
    <w:basedOn w:val="DefaultParagraphFont"/>
    <w:link w:val="MdRBullets"/>
    <w:rsid w:val="00E26BEE"/>
    <w:rPr>
      <w:lang w:val="en-GB" w:eastAsia="en-GB"/>
    </w:rPr>
  </w:style>
  <w:style w:type="table" w:customStyle="1" w:styleId="a">
    <w:basedOn w:val="TableNormal"/>
    <w:pPr>
      <w:spacing w:after="0" w:line="240" w:lineRule="auto"/>
    </w:pPr>
    <w:rPr>
      <w:sz w:val="24"/>
      <w:szCs w:val="24"/>
    </w:rPr>
    <w:tblPr>
      <w:tblStyleRowBandSize w:val="1"/>
      <w:tblStyleColBandSize w:val="1"/>
      <w:tblCellMar>
        <w:top w:w="47" w:type="dxa"/>
        <w:left w:w="64" w:type="dxa"/>
        <w:right w:w="100" w:type="dxa"/>
      </w:tblCellMar>
    </w:tblPr>
  </w:style>
  <w:style w:type="table" w:customStyle="1" w:styleId="a0">
    <w:basedOn w:val="TableNormal"/>
    <w:pPr>
      <w:spacing w:after="0" w:line="240" w:lineRule="auto"/>
    </w:pPr>
    <w:rPr>
      <w:sz w:val="24"/>
      <w:szCs w:val="24"/>
    </w:rPr>
    <w:tblPr>
      <w:tblStyleRowBandSize w:val="1"/>
      <w:tblStyleColBandSize w:val="1"/>
      <w:tblCellMar>
        <w:top w:w="47" w:type="dxa"/>
        <w:right w:w="115" w:type="dxa"/>
      </w:tblCellMar>
    </w:tblPr>
  </w:style>
  <w:style w:type="table" w:customStyle="1" w:styleId="a1">
    <w:basedOn w:val="TableNormal"/>
    <w:pPr>
      <w:spacing w:after="0" w:line="240" w:lineRule="auto"/>
    </w:pPr>
    <w:rPr>
      <w:sz w:val="24"/>
      <w:szCs w:val="24"/>
    </w:rPr>
    <w:tblPr>
      <w:tblStyleRowBandSize w:val="1"/>
      <w:tblStyleColBandSize w:val="1"/>
      <w:tblCellMar>
        <w:top w:w="47" w:type="dxa"/>
        <w:left w:w="64" w:type="dxa"/>
        <w:right w:w="100" w:type="dxa"/>
      </w:tblCellMar>
    </w:tblPr>
  </w:style>
  <w:style w:type="table" w:customStyle="1" w:styleId="a2">
    <w:basedOn w:val="TableNormal"/>
    <w:pPr>
      <w:spacing w:after="0" w:line="240" w:lineRule="auto"/>
    </w:pPr>
    <w:rPr>
      <w:sz w:val="24"/>
      <w:szCs w:val="24"/>
    </w:rPr>
    <w:tblPr>
      <w:tblStyleRowBandSize w:val="1"/>
      <w:tblStyleColBandSize w:val="1"/>
      <w:tblCellMar>
        <w:top w:w="47" w:type="dxa"/>
        <w:right w:w="115" w:type="dxa"/>
      </w:tblCellMar>
    </w:tblPr>
  </w:style>
  <w:style w:type="paragraph" w:styleId="Revision">
    <w:name w:val="Revision"/>
    <w:hidden/>
    <w:uiPriority w:val="99"/>
    <w:semiHidden/>
    <w:rsid w:val="00483AC5"/>
    <w:pPr>
      <w:spacing w:after="0" w:line="240" w:lineRule="auto"/>
    </w:pPr>
  </w:style>
  <w:style w:type="character" w:styleId="FollowedHyperlink">
    <w:name w:val="FollowedHyperlink"/>
    <w:basedOn w:val="DefaultParagraphFont"/>
    <w:uiPriority w:val="99"/>
    <w:semiHidden/>
    <w:unhideWhenUsed/>
    <w:rsid w:val="006C14AD"/>
    <w:rPr>
      <w:color w:val="800080" w:themeColor="followed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4"/>
      <w:szCs w:val="24"/>
    </w:rPr>
    <w:tblPr>
      <w:tblStyleRowBandSize w:val="1"/>
      <w:tblStyleColBandSize w:val="1"/>
      <w:tblCellMar>
        <w:top w:w="47" w:type="dxa"/>
        <w:right w:w="115" w:type="dxa"/>
      </w:tblCellMar>
    </w:tblPr>
  </w:style>
  <w:style w:type="table" w:customStyle="1" w:styleId="a5">
    <w:basedOn w:val="TableNormal"/>
    <w:pPr>
      <w:spacing w:after="0" w:line="240" w:lineRule="auto"/>
    </w:pPr>
    <w:rPr>
      <w:sz w:val="24"/>
      <w:szCs w:val="24"/>
    </w:rPr>
    <w:tblPr>
      <w:tblStyleRowBandSize w:val="1"/>
      <w:tblStyleColBandSize w:val="1"/>
      <w:tblCellMar>
        <w:top w:w="47" w:type="dxa"/>
        <w:left w:w="64" w:type="dxa"/>
        <w:right w:w="100" w:type="dxa"/>
      </w:tblCellMar>
    </w:tblPr>
  </w:style>
  <w:style w:type="table" w:customStyle="1" w:styleId="a6">
    <w:basedOn w:val="TableNormal"/>
    <w:pPr>
      <w:spacing w:after="0" w:line="240" w:lineRule="auto"/>
    </w:pPr>
    <w:rPr>
      <w:sz w:val="24"/>
      <w:szCs w:val="24"/>
    </w:rPr>
    <w:tblPr>
      <w:tblStyleRowBandSize w:val="1"/>
      <w:tblStyleColBandSize w:val="1"/>
      <w:tblCellMar>
        <w:top w:w="47"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3B4C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C12"/>
    <w:rPr>
      <w:sz w:val="20"/>
      <w:szCs w:val="20"/>
    </w:rPr>
  </w:style>
  <w:style w:type="character" w:styleId="FootnoteReference">
    <w:name w:val="footnote reference"/>
    <w:basedOn w:val="DefaultParagraphFont"/>
    <w:uiPriority w:val="99"/>
    <w:semiHidden/>
    <w:unhideWhenUsed/>
    <w:rsid w:val="003B4C12"/>
    <w:rPr>
      <w:vertAlign w:val="superscript"/>
    </w:rPr>
  </w:style>
  <w:style w:type="paragraph" w:styleId="TOC2">
    <w:name w:val="toc 2"/>
    <w:basedOn w:val="Normal"/>
    <w:next w:val="Normal"/>
    <w:autoRedefine/>
    <w:uiPriority w:val="39"/>
    <w:unhideWhenUsed/>
    <w:rsid w:val="00ED672A"/>
    <w:pPr>
      <w:spacing w:after="100" w:line="259" w:lineRule="auto"/>
      <w:ind w:left="220"/>
    </w:pPr>
    <w:rPr>
      <w:rFonts w:asciiTheme="minorHAnsi" w:eastAsiaTheme="minorEastAsia" w:hAnsiTheme="minorHAnsi" w:cs="Times New Roman"/>
      <w:lang w:val="en-GB"/>
    </w:rPr>
  </w:style>
  <w:style w:type="paragraph" w:styleId="TOC1">
    <w:name w:val="toc 1"/>
    <w:basedOn w:val="Normal"/>
    <w:next w:val="Normal"/>
    <w:autoRedefine/>
    <w:uiPriority w:val="39"/>
    <w:unhideWhenUsed/>
    <w:rsid w:val="00ED672A"/>
    <w:pPr>
      <w:spacing w:after="100" w:line="259" w:lineRule="auto"/>
    </w:pPr>
    <w:rPr>
      <w:rFonts w:asciiTheme="minorHAnsi" w:eastAsiaTheme="minorEastAsia" w:hAnsiTheme="minorHAnsi" w:cs="Times New Roman"/>
      <w:lang w:val="en-GB"/>
    </w:rPr>
  </w:style>
  <w:style w:type="paragraph" w:styleId="TOC3">
    <w:name w:val="toc 3"/>
    <w:basedOn w:val="Normal"/>
    <w:next w:val="Normal"/>
    <w:autoRedefine/>
    <w:uiPriority w:val="39"/>
    <w:unhideWhenUsed/>
    <w:rsid w:val="00ED672A"/>
    <w:pPr>
      <w:spacing w:after="100" w:line="259" w:lineRule="auto"/>
      <w:ind w:left="440"/>
    </w:pPr>
    <w:rPr>
      <w:rFonts w:asciiTheme="minorHAnsi" w:eastAsiaTheme="minorEastAsia" w:hAnsiTheme="minorHAnsi" w:cs="Times New Roman"/>
      <w:lang w:val="en-GB"/>
    </w:rPr>
  </w:style>
  <w:style w:type="paragraph" w:customStyle="1" w:styleId="Default">
    <w:name w:val="Default"/>
    <w:uiPriority w:val="99"/>
    <w:rsid w:val="008B3E14"/>
    <w:pPr>
      <w:autoSpaceDE w:val="0"/>
      <w:autoSpaceDN w:val="0"/>
      <w:adjustRightInd w:val="0"/>
      <w:spacing w:after="0" w:line="240" w:lineRule="auto"/>
    </w:pPr>
    <w:rPr>
      <w:rFonts w:ascii="Arial" w:eastAsia="Calibr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ogle.com/search?rlz=1C1SQJL_enGB899GB899&amp;cs=0&amp;sca_esv=9e604a3141a4b337&amp;sxsrf=AE3TifNy04Hvg4rUJfgwacgRI5BxktrwiQ%3A1759677477002&amp;q=Property+Law+Act+2023&amp;sa=X&amp;ved=2ahUKEwiquaW3rY2QAxUvUEEAHSDALsMQxccNegQIAxAB&amp;mstk=AUtExfAQhY3rcMKtwXMybCNhW_yv0CJLennAuIrm0TX82xgCTXoG61BdLBaszpiR7HUmn25BtRk5HJWHr3GF4PI3FcV2rim37-G9PvZKiO7xkBD5ICnpVhZTQUFxIqJwYv-qHOYu1gS3JSlYUtrkFf52iydHBjqXR6TwZRoZZTanE55xIX0&amp;csui=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1LdahPGg3SD9oEF9HPsnMHYnLg==">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</go:docsCustomData>
</go:gDocsCustomXmlDataStorage>
</file>

<file path=customXml/itemProps1.xml><?xml version="1.0" encoding="utf-8"?>
<ds:datastoreItem xmlns:ds="http://schemas.openxmlformats.org/officeDocument/2006/customXml" ds:itemID="{AA15C589-978A-42CB-A38C-CE10DDF6ED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9638</Words>
  <Characters>52239</Characters>
  <Application>Microsoft Office Word</Application>
  <DocSecurity>0</DocSecurity>
  <Lines>1044</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Bethany de Montjoie Rudolf</cp:lastModifiedBy>
  <cp:revision>4</cp:revision>
  <dcterms:created xsi:type="dcterms:W3CDTF">2025-12-18T16:43:00Z</dcterms:created>
  <dcterms:modified xsi:type="dcterms:W3CDTF">2025-12-18T17:13:00Z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0x0101001E08EC5FF9B7F540B899837C2CB156AA</vt:lpwstr>
  </property>
</Properties>
</file>